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288B" w14:textId="77777777" w:rsidR="006103C8" w:rsidRDefault="003A02D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发育生物学</w:t>
      </w:r>
      <w:r>
        <w:rPr>
          <w:rFonts w:ascii="黑体" w:eastAsia="黑体" w:hAnsi="黑体" w:hint="eastAsia"/>
          <w:sz w:val="32"/>
          <w:szCs w:val="32"/>
        </w:rPr>
        <w:t>》课程教学大纲</w:t>
      </w:r>
    </w:p>
    <w:p w14:paraId="693C1883" w14:textId="77777777" w:rsidR="006103C8" w:rsidRDefault="003A02D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103C8" w14:paraId="377965DC" w14:textId="77777777">
        <w:trPr>
          <w:jc w:val="center"/>
        </w:trPr>
        <w:tc>
          <w:tcPr>
            <w:tcW w:w="1135" w:type="dxa"/>
            <w:vAlign w:val="center"/>
          </w:tcPr>
          <w:p w14:paraId="41854663"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EA13EA"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Developmental Biology</w:t>
            </w:r>
          </w:p>
        </w:tc>
        <w:tc>
          <w:tcPr>
            <w:tcW w:w="1134" w:type="dxa"/>
            <w:vAlign w:val="center"/>
          </w:tcPr>
          <w:p w14:paraId="1F0ACA95"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C0A700C"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ABIO1001</w:t>
            </w:r>
          </w:p>
        </w:tc>
      </w:tr>
      <w:tr w:rsidR="006103C8" w14:paraId="7924D5AA" w14:textId="77777777">
        <w:trPr>
          <w:jc w:val="center"/>
        </w:trPr>
        <w:tc>
          <w:tcPr>
            <w:tcW w:w="1135" w:type="dxa"/>
            <w:vAlign w:val="center"/>
          </w:tcPr>
          <w:p w14:paraId="4745792C"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F465511"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专业选修课程</w:t>
            </w:r>
          </w:p>
        </w:tc>
        <w:tc>
          <w:tcPr>
            <w:tcW w:w="1134" w:type="dxa"/>
            <w:vAlign w:val="center"/>
          </w:tcPr>
          <w:p w14:paraId="583A3CF9"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D420774"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生物技</w:t>
            </w:r>
            <w:r>
              <w:rPr>
                <w:rFonts w:ascii="宋体" w:eastAsia="宋体" w:hAnsi="宋体" w:cs="微软雅黑" w:hint="eastAsia"/>
              </w:rPr>
              <w:t>术</w:t>
            </w:r>
            <w:r>
              <w:rPr>
                <w:rFonts w:ascii="宋体" w:eastAsia="宋体" w:hAnsi="宋体" w:cs="MS Gothic" w:hint="eastAsia"/>
              </w:rPr>
              <w:t>、生物信息学</w:t>
            </w:r>
          </w:p>
        </w:tc>
      </w:tr>
      <w:tr w:rsidR="006103C8" w14:paraId="75065971" w14:textId="77777777">
        <w:trPr>
          <w:jc w:val="center"/>
        </w:trPr>
        <w:tc>
          <w:tcPr>
            <w:tcW w:w="1135" w:type="dxa"/>
            <w:vAlign w:val="center"/>
          </w:tcPr>
          <w:p w14:paraId="1525C383"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4CA29AA"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2</w:t>
            </w:r>
          </w:p>
        </w:tc>
        <w:tc>
          <w:tcPr>
            <w:tcW w:w="1134" w:type="dxa"/>
            <w:vAlign w:val="center"/>
          </w:tcPr>
          <w:p w14:paraId="3AAD5DFD"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7FB76B9"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36</w:t>
            </w:r>
          </w:p>
        </w:tc>
      </w:tr>
      <w:tr w:rsidR="006103C8" w14:paraId="3EF769CA" w14:textId="77777777">
        <w:trPr>
          <w:jc w:val="center"/>
        </w:trPr>
        <w:tc>
          <w:tcPr>
            <w:tcW w:w="1135" w:type="dxa"/>
            <w:vAlign w:val="center"/>
          </w:tcPr>
          <w:p w14:paraId="0FA233C6"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CA8DFCF"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徐</w:t>
            </w:r>
            <w:proofErr w:type="gramStart"/>
            <w:r>
              <w:rPr>
                <w:rFonts w:ascii="Times New Roman" w:eastAsia="宋体" w:hAnsi="Times New Roman" w:cs="Times New Roman"/>
              </w:rPr>
              <w:t>世</w:t>
            </w:r>
            <w:proofErr w:type="gramEnd"/>
            <w:r>
              <w:rPr>
                <w:rFonts w:ascii="Times New Roman" w:eastAsia="宋体" w:hAnsi="Times New Roman" w:cs="Times New Roman"/>
              </w:rPr>
              <w:t>清</w:t>
            </w:r>
          </w:p>
        </w:tc>
        <w:tc>
          <w:tcPr>
            <w:tcW w:w="1134" w:type="dxa"/>
            <w:vAlign w:val="center"/>
          </w:tcPr>
          <w:p w14:paraId="559F00D5"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FEFD627" w14:textId="34DBD4CE" w:rsidR="006103C8" w:rsidRDefault="003A02D5">
            <w:pPr>
              <w:spacing w:beforeLines="50" w:before="156" w:afterLines="50" w:after="156"/>
              <w:rPr>
                <w:rFonts w:ascii="宋体" w:eastAsia="宋体" w:hAnsi="宋体" w:cs="Times New Roman"/>
              </w:rPr>
            </w:pPr>
            <w:r>
              <w:rPr>
                <w:rFonts w:ascii="宋体" w:eastAsia="宋体" w:hAnsi="宋体" w:cs="Times New Roman"/>
              </w:rPr>
              <w:t>2021</w:t>
            </w:r>
            <w:r>
              <w:rPr>
                <w:rFonts w:ascii="宋体" w:eastAsia="宋体" w:hAnsi="宋体" w:cs="Times New Roman" w:hint="eastAsia"/>
              </w:rPr>
              <w:t>.</w:t>
            </w:r>
            <w:r>
              <w:rPr>
                <w:rFonts w:ascii="宋体" w:eastAsia="宋体" w:hAnsi="宋体" w:cs="Times New Roman"/>
              </w:rPr>
              <w:t>0</w:t>
            </w:r>
            <w:r>
              <w:rPr>
                <w:rFonts w:ascii="宋体" w:eastAsia="宋体" w:hAnsi="宋体" w:cs="Times New Roman"/>
              </w:rPr>
              <w:t>6</w:t>
            </w:r>
          </w:p>
        </w:tc>
      </w:tr>
      <w:tr w:rsidR="006103C8" w14:paraId="386BFACF" w14:textId="77777777">
        <w:trPr>
          <w:jc w:val="center"/>
        </w:trPr>
        <w:tc>
          <w:tcPr>
            <w:tcW w:w="1135" w:type="dxa"/>
            <w:vAlign w:val="center"/>
          </w:tcPr>
          <w:p w14:paraId="34A23922"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E76A385" w14:textId="77777777" w:rsidR="006103C8" w:rsidRDefault="003A02D5">
            <w:pPr>
              <w:spacing w:beforeLines="50" w:before="156" w:afterLines="50" w:after="156"/>
              <w:jc w:val="left"/>
              <w:rPr>
                <w:rFonts w:ascii="Times New Roman" w:eastAsia="MS Gothic" w:hAnsi="Times New Roman" w:cs="Times New Roman"/>
              </w:rPr>
            </w:pPr>
            <w:r>
              <w:rPr>
                <w:rFonts w:ascii="Times New Roman" w:eastAsia="宋体" w:hAnsi="Times New Roman" w:cs="Times New Roman" w:hint="eastAsia"/>
              </w:rPr>
              <w:t>发</w:t>
            </w:r>
            <w:r>
              <w:rPr>
                <w:rFonts w:ascii="Times New Roman" w:eastAsia="宋体" w:hAnsi="Times New Roman" w:cs="Times New Roman"/>
              </w:rPr>
              <w:t>育生物学（普通高等教育</w:t>
            </w:r>
            <w:r>
              <w:rPr>
                <w:rFonts w:ascii="Times New Roman" w:eastAsia="宋体" w:hAnsi="Times New Roman" w:cs="Times New Roman"/>
              </w:rPr>
              <w:t>“</w:t>
            </w:r>
            <w:r>
              <w:rPr>
                <w:rFonts w:ascii="Times New Roman" w:eastAsia="宋体" w:hAnsi="Times New Roman" w:cs="Times New Roman"/>
              </w:rPr>
              <w:t>十二五</w:t>
            </w:r>
            <w:r>
              <w:rPr>
                <w:rFonts w:ascii="Times New Roman" w:eastAsia="宋体" w:hAnsi="Times New Roman" w:cs="Times New Roman"/>
              </w:rPr>
              <w:t>”</w:t>
            </w:r>
            <w:r>
              <w:rPr>
                <w:rFonts w:ascii="Times New Roman" w:eastAsia="宋体" w:hAnsi="Times New Roman" w:cs="Times New Roman" w:hint="eastAsia"/>
              </w:rPr>
              <w:t>规</w:t>
            </w:r>
            <w:r>
              <w:rPr>
                <w:rFonts w:ascii="Times New Roman" w:eastAsia="宋体" w:hAnsi="Times New Roman" w:cs="Times New Roman"/>
              </w:rPr>
              <w:t>划教材）尤永隆</w:t>
            </w:r>
            <w:r>
              <w:rPr>
                <w:rFonts w:ascii="Times New Roman" w:eastAsia="宋体" w:hAnsi="Times New Roman" w:cs="Times New Roman"/>
              </w:rPr>
              <w:t xml:space="preserve"> </w:t>
            </w:r>
            <w:r>
              <w:rPr>
                <w:rFonts w:ascii="Times New Roman" w:eastAsia="宋体" w:hAnsi="Times New Roman" w:cs="Times New Roman"/>
              </w:rPr>
              <w:t>等　主</w:t>
            </w:r>
            <w:r>
              <w:rPr>
                <w:rFonts w:ascii="Times New Roman" w:eastAsia="宋体" w:hAnsi="Times New Roman" w:cs="Times New Roman" w:hint="eastAsia"/>
              </w:rPr>
              <w:t>编</w:t>
            </w:r>
            <w:r>
              <w:rPr>
                <w:rFonts w:ascii="Times New Roman" w:eastAsia="宋体" w:hAnsi="Times New Roman" w:cs="Times New Roman"/>
              </w:rPr>
              <w:t>，科学出版社，</w:t>
            </w:r>
            <w:r>
              <w:rPr>
                <w:rFonts w:ascii="Times New Roman" w:eastAsia="宋体" w:hAnsi="Times New Roman" w:cs="Times New Roman"/>
              </w:rPr>
              <w:t>2011</w:t>
            </w:r>
            <w:r>
              <w:rPr>
                <w:rFonts w:ascii="Times New Roman" w:eastAsia="宋体" w:hAnsi="Times New Roman" w:cs="Times New Roman"/>
              </w:rPr>
              <w:t>年</w:t>
            </w:r>
            <w:r>
              <w:rPr>
                <w:rFonts w:ascii="Times New Roman" w:eastAsia="宋体" w:hAnsi="Times New Roman" w:cs="Times New Roman"/>
              </w:rPr>
              <w:t>06</w:t>
            </w:r>
            <w:r>
              <w:rPr>
                <w:rFonts w:ascii="Times New Roman" w:eastAsia="宋体" w:hAnsi="Times New Roman" w:cs="Times New Roman"/>
              </w:rPr>
              <w:t>月</w:t>
            </w:r>
          </w:p>
        </w:tc>
      </w:tr>
    </w:tbl>
    <w:p w14:paraId="2181BAB5" w14:textId="77777777" w:rsidR="006103C8" w:rsidRDefault="003A02D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E46DA0" w14:textId="77777777" w:rsidR="006103C8" w:rsidRDefault="003A02D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E4E4B9F" w14:textId="77777777" w:rsidR="006103C8" w:rsidRDefault="003A02D5">
      <w:pPr>
        <w:pStyle w:val="a3"/>
        <w:spacing w:beforeLines="50" w:before="156" w:afterLines="50" w:after="156"/>
        <w:ind w:firstLineChars="200" w:firstLine="420"/>
        <w:rPr>
          <w:rFonts w:hAnsi="宋体" w:cs="宋体"/>
        </w:rPr>
      </w:pPr>
      <w:r>
        <w:rPr>
          <w:rFonts w:hAnsi="宋体" w:cs="宋体" w:hint="eastAsia"/>
        </w:rPr>
        <w:t>发育生物学是当代生命科学研究最活跃的领域之一，该学科一方面将分子生物学、细胞生物学、遗传学、生物化学、生理学、免疫学、胚胎学、进化生物学及生态学等多种学科汇集一起，综合揭示多细胞生命发育的本质规律；另一方面，发育研究已存在于生物学的各个领域，成为其他学科的基本要素，与医药卫生、农业生产和生物资源的利用关系密切。</w:t>
      </w:r>
    </w:p>
    <w:p w14:paraId="5CB7EAF3" w14:textId="77777777" w:rsidR="006103C8" w:rsidRDefault="003A02D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6BD6477" w14:textId="77777777" w:rsidR="006103C8" w:rsidRDefault="003A02D5">
      <w:pPr>
        <w:pStyle w:val="a3"/>
        <w:spacing w:beforeLines="50" w:before="156" w:afterLines="50" w:after="156"/>
        <w:ind w:firstLineChars="200" w:firstLine="420"/>
        <w:rPr>
          <w:rFonts w:hAnsi="宋体" w:cs="宋体"/>
        </w:rPr>
      </w:pPr>
      <w:r>
        <w:rPr>
          <w:rFonts w:hAnsi="宋体" w:cs="宋体" w:hint="eastAsia"/>
        </w:rPr>
        <w:t>《发育生物学》是面向</w:t>
      </w:r>
      <w:r>
        <w:rPr>
          <w:rFonts w:hAnsi="宋体"/>
        </w:rPr>
        <w:t>生物技</w:t>
      </w:r>
      <w:r>
        <w:rPr>
          <w:rFonts w:hAnsi="宋体" w:cs="微软雅黑" w:hint="eastAsia"/>
        </w:rPr>
        <w:t>术和</w:t>
      </w:r>
      <w:r>
        <w:rPr>
          <w:rFonts w:hAnsi="宋体" w:cs="MS Gothic" w:hint="eastAsia"/>
        </w:rPr>
        <w:t>生物信息等生物科学类</w:t>
      </w:r>
      <w:r>
        <w:rPr>
          <w:rFonts w:hAnsi="宋体" w:cs="宋体" w:hint="eastAsia"/>
        </w:rPr>
        <w:t>学生开设的专业选修课。本课程将全面、系统地介绍多细胞动物（包括人类）的个体发育模式、细胞命运特化和胚轴形成、器官形成、细胞分化的分子机制等发育生物学的基础知识和基本理论；重点介绍发育的分子机制及其遗传控制；重点介绍性别控制、再生、衰老、肥胖、以及配子与早期胚胎的基因工程等发育生物学新热点。</w:t>
      </w:r>
    </w:p>
    <w:p w14:paraId="7AC3EA31" w14:textId="77777777" w:rsidR="006103C8" w:rsidRDefault="003A02D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48FC4626" w14:textId="77777777" w:rsidR="006103C8" w:rsidRDefault="003A02D5">
      <w:pPr>
        <w:pStyle w:val="a3"/>
        <w:spacing w:beforeLines="50" w:before="156" w:afterLines="50" w:after="156"/>
        <w:ind w:firstLineChars="200" w:firstLine="420"/>
        <w:rPr>
          <w:rFonts w:hAnsi="宋体" w:cs="宋体"/>
        </w:rPr>
      </w:pPr>
      <w:r>
        <w:rPr>
          <w:rFonts w:hAnsi="宋体" w:cs="宋体" w:hint="eastAsia"/>
        </w:rPr>
        <w:t>综合揭示动物发育的本质规律。通过教授和指导学生系统地学习多细胞动物（包括人类）的个体发育模式、细胞命运特化和胚轴形成、器官形成、细胞分化的分子机制、发育的遗传调控等发育生物学的基础知识和基本理论，以动物生长</w:t>
      </w:r>
      <w:r>
        <w:rPr>
          <w:rFonts w:hAnsi="宋体" w:cs="宋体" w:hint="eastAsia"/>
        </w:rPr>
        <w:t>发育及其调控的核心知识单元，高度综合生物学理论知识与研究技术，培养学生生物学基础与应用的跨学科知识链</w:t>
      </w:r>
      <w:r>
        <w:rPr>
          <w:rFonts w:hAnsi="宋体" w:cs="宋体" w:hint="eastAsia"/>
          <w:bCs/>
          <w:szCs w:val="21"/>
        </w:rPr>
        <w:t>，锻炼学生的</w:t>
      </w:r>
      <w:r>
        <w:rPr>
          <w:rFonts w:hAnsi="宋体" w:cs="宋体" w:hint="eastAsia"/>
        </w:rPr>
        <w:t>思辨能力和批判性思维。</w:t>
      </w:r>
    </w:p>
    <w:p w14:paraId="111BEC76" w14:textId="77777777" w:rsidR="006103C8" w:rsidRDefault="003A02D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p>
    <w:p w14:paraId="774B175F" w14:textId="77777777" w:rsidR="006103C8" w:rsidRDefault="003A02D5">
      <w:pPr>
        <w:pStyle w:val="a3"/>
        <w:spacing w:beforeLines="50" w:before="156" w:afterLines="50" w:after="156"/>
        <w:ind w:firstLineChars="200" w:firstLine="420"/>
        <w:rPr>
          <w:rFonts w:hAnsi="宋体" w:cs="宋体"/>
          <w:szCs w:val="21"/>
          <w:shd w:val="clear" w:color="auto" w:fill="FFFFFF"/>
        </w:rPr>
      </w:pPr>
      <w:r>
        <w:rPr>
          <w:rFonts w:hAnsi="宋体" w:cs="宋体" w:hint="eastAsia"/>
          <w:szCs w:val="21"/>
          <w:shd w:val="clear" w:color="auto" w:fill="FFFFFF"/>
        </w:rPr>
        <w:t>激发学生的探究学习精神，</w:t>
      </w:r>
      <w:r>
        <w:rPr>
          <w:rFonts w:hAnsi="宋体" w:cs="宋体" w:hint="eastAsia"/>
        </w:rPr>
        <w:t>引导学生养成良好的科学素养。</w:t>
      </w:r>
      <w:r>
        <w:rPr>
          <w:rFonts w:hAnsi="宋体" w:cs="宋体" w:hint="eastAsia"/>
          <w:szCs w:val="21"/>
          <w:shd w:val="clear" w:color="auto" w:fill="FFFFFF"/>
        </w:rPr>
        <w:t>生殖发育的应用基础作用深刻影响医学和农业产业，推动着畜牧</w:t>
      </w:r>
      <w:r>
        <w:rPr>
          <w:rFonts w:hAnsi="宋体" w:cs="宋体"/>
          <w:szCs w:val="21"/>
          <w:shd w:val="clear" w:color="auto" w:fill="FFFFFF"/>
        </w:rPr>
        <w:t>人工繁殖、遗传育种和人类生殖工程等生产和医疗应用技术的发展。</w:t>
      </w:r>
      <w:r>
        <w:rPr>
          <w:rFonts w:hAnsi="宋体" w:cs="宋体" w:hint="eastAsia"/>
          <w:szCs w:val="21"/>
          <w:shd w:val="clear" w:color="auto" w:fill="FFFFFF"/>
        </w:rPr>
        <w:t>发育机理调控突破是生命科学新兴产业的基础，</w:t>
      </w:r>
      <w:r>
        <w:rPr>
          <w:rFonts w:hAnsi="宋体" w:cs="宋体"/>
          <w:szCs w:val="21"/>
          <w:shd w:val="clear" w:color="auto" w:fill="FFFFFF"/>
        </w:rPr>
        <w:t>是解决癌症等许多医学难题，</w:t>
      </w:r>
      <w:r>
        <w:rPr>
          <w:rFonts w:hAnsi="宋体" w:cs="宋体"/>
          <w:szCs w:val="21"/>
          <w:shd w:val="clear" w:color="auto" w:fill="FFFFFF"/>
        </w:rPr>
        <w:lastRenderedPageBreak/>
        <w:t>以及器官与组织培养等新兴医学产业工程发展的基础；也是基因工程发展为成熟实用技术的基础。</w:t>
      </w:r>
      <w:r>
        <w:rPr>
          <w:rFonts w:hAnsi="宋体" w:cs="宋体" w:hint="eastAsia"/>
        </w:rPr>
        <w:t>通过性别控制、再生、衰老、肥胖、以及配子</w:t>
      </w:r>
      <w:r>
        <w:rPr>
          <w:rFonts w:hAnsi="宋体" w:cs="宋体" w:hint="eastAsia"/>
        </w:rPr>
        <w:t>与早期胚胎的基因工程等发育生物学热点内容的设置，</w:t>
      </w:r>
      <w:r>
        <w:rPr>
          <w:rFonts w:hAnsi="宋体" w:cs="宋体" w:hint="eastAsia"/>
          <w:szCs w:val="21"/>
          <w:shd w:val="clear" w:color="auto" w:fill="FFFFFF"/>
        </w:rPr>
        <w:t>提出趣味的现象或表型，引导学生进一步提出问题，帮助学生</w:t>
      </w:r>
      <w:r>
        <w:rPr>
          <w:rFonts w:hAnsi="宋体" w:cs="宋体" w:hint="eastAsia"/>
        </w:rPr>
        <w:t>提升自主学习能力、合作意识、沟通能力、反思能力，也</w:t>
      </w:r>
      <w:r>
        <w:rPr>
          <w:rFonts w:hAnsi="宋体" w:cs="宋体" w:hint="eastAsia"/>
          <w:szCs w:val="21"/>
          <w:shd w:val="clear" w:color="auto" w:fill="FFFFFF"/>
        </w:rPr>
        <w:t>提升学生对发育生物学的应用价值认识。</w:t>
      </w:r>
    </w:p>
    <w:p w14:paraId="16CC93AC" w14:textId="77777777" w:rsidR="006103C8" w:rsidRDefault="003A02D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149E036" w14:textId="77777777" w:rsidR="006103C8" w:rsidRDefault="003A02D5">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634"/>
        <w:gridCol w:w="2976"/>
        <w:gridCol w:w="1495"/>
      </w:tblGrid>
      <w:tr w:rsidR="006103C8" w14:paraId="1931036D" w14:textId="77777777">
        <w:trPr>
          <w:trHeight w:val="554"/>
          <w:jc w:val="center"/>
        </w:trPr>
        <w:tc>
          <w:tcPr>
            <w:tcW w:w="717" w:type="pct"/>
            <w:vAlign w:val="center"/>
          </w:tcPr>
          <w:p w14:paraId="4A2B5055" w14:textId="77777777" w:rsidR="006103C8" w:rsidRDefault="003A02D5">
            <w:pPr>
              <w:pStyle w:val="a3"/>
              <w:snapToGrid w:val="0"/>
              <w:jc w:val="center"/>
              <w:rPr>
                <w:rFonts w:ascii="黑体" w:hAnsi="宋体"/>
                <w:b/>
                <w:bCs/>
                <w:szCs w:val="21"/>
              </w:rPr>
            </w:pPr>
            <w:r>
              <w:rPr>
                <w:rFonts w:ascii="黑体" w:hAnsi="宋体" w:hint="eastAsia"/>
                <w:b/>
                <w:bCs/>
                <w:szCs w:val="21"/>
              </w:rPr>
              <w:t>课程目标</w:t>
            </w:r>
          </w:p>
        </w:tc>
        <w:tc>
          <w:tcPr>
            <w:tcW w:w="1588" w:type="pct"/>
            <w:vAlign w:val="center"/>
          </w:tcPr>
          <w:p w14:paraId="7AB5A91D" w14:textId="77777777" w:rsidR="006103C8" w:rsidRDefault="003A02D5">
            <w:pPr>
              <w:pStyle w:val="a3"/>
              <w:snapToGrid w:val="0"/>
              <w:jc w:val="center"/>
              <w:rPr>
                <w:rFonts w:hAnsi="宋体" w:cs="宋体"/>
                <w:b/>
              </w:rPr>
            </w:pPr>
            <w:r>
              <w:rPr>
                <w:rFonts w:hAnsi="宋体" w:cs="宋体" w:hint="eastAsia"/>
                <w:b/>
              </w:rPr>
              <w:t>课程子目标</w:t>
            </w:r>
          </w:p>
        </w:tc>
        <w:tc>
          <w:tcPr>
            <w:tcW w:w="1794" w:type="pct"/>
            <w:vAlign w:val="center"/>
          </w:tcPr>
          <w:p w14:paraId="2625AE61" w14:textId="77777777" w:rsidR="006103C8" w:rsidRDefault="003A02D5">
            <w:pPr>
              <w:pStyle w:val="a3"/>
              <w:snapToGrid w:val="0"/>
              <w:jc w:val="center"/>
              <w:rPr>
                <w:rFonts w:ascii="黑体" w:hAnsi="宋体"/>
                <w:b/>
                <w:bCs/>
                <w:szCs w:val="21"/>
              </w:rPr>
            </w:pPr>
            <w:r>
              <w:rPr>
                <w:rFonts w:ascii="黑体" w:hAnsi="宋体" w:hint="eastAsia"/>
                <w:b/>
                <w:bCs/>
                <w:szCs w:val="21"/>
              </w:rPr>
              <w:t>对应课程内容</w:t>
            </w:r>
          </w:p>
        </w:tc>
        <w:tc>
          <w:tcPr>
            <w:tcW w:w="901" w:type="pct"/>
            <w:vAlign w:val="center"/>
          </w:tcPr>
          <w:p w14:paraId="0E9F87FF" w14:textId="77777777" w:rsidR="006103C8" w:rsidRDefault="003A02D5">
            <w:pPr>
              <w:pStyle w:val="a3"/>
              <w:snapToGrid w:val="0"/>
              <w:jc w:val="center"/>
              <w:rPr>
                <w:rFonts w:ascii="黑体" w:hAnsi="宋体"/>
                <w:b/>
                <w:bCs/>
                <w:szCs w:val="21"/>
              </w:rPr>
            </w:pPr>
            <w:r>
              <w:rPr>
                <w:rFonts w:ascii="黑体" w:hAnsi="宋体" w:hint="eastAsia"/>
                <w:b/>
                <w:bCs/>
                <w:szCs w:val="21"/>
              </w:rPr>
              <w:t>对应毕业要求</w:t>
            </w:r>
          </w:p>
        </w:tc>
      </w:tr>
      <w:tr w:rsidR="006103C8" w14:paraId="12C6D2F4" w14:textId="77777777">
        <w:trPr>
          <w:trHeight w:val="4160"/>
          <w:jc w:val="center"/>
        </w:trPr>
        <w:tc>
          <w:tcPr>
            <w:tcW w:w="717" w:type="pct"/>
            <w:vMerge w:val="restart"/>
            <w:vAlign w:val="center"/>
          </w:tcPr>
          <w:p w14:paraId="085D3282" w14:textId="77777777" w:rsidR="006103C8" w:rsidRDefault="003A02D5">
            <w:pPr>
              <w:pStyle w:val="a3"/>
              <w:snapToGrid w:val="0"/>
              <w:rPr>
                <w:rFonts w:ascii="黑体" w:hAnsi="宋体"/>
                <w:b/>
                <w:bCs/>
                <w:szCs w:val="21"/>
              </w:rPr>
            </w:pPr>
            <w:r>
              <w:rPr>
                <w:rFonts w:hAnsi="宋体" w:hint="eastAsia"/>
                <w:b/>
                <w:bCs/>
                <w:kern w:val="0"/>
                <w:sz w:val="20"/>
                <w:szCs w:val="21"/>
              </w:rPr>
              <w:t>课程</w:t>
            </w:r>
            <w:r>
              <w:rPr>
                <w:rFonts w:hAnsi="宋体"/>
                <w:b/>
                <w:bCs/>
                <w:kern w:val="0"/>
                <w:sz w:val="20"/>
                <w:szCs w:val="21"/>
              </w:rPr>
              <w:t>目标</w:t>
            </w:r>
            <w:r>
              <w:rPr>
                <w:rFonts w:hAnsi="宋体"/>
                <w:b/>
                <w:bCs/>
                <w:kern w:val="0"/>
                <w:sz w:val="20"/>
                <w:szCs w:val="21"/>
              </w:rPr>
              <w:t>1</w:t>
            </w:r>
            <w:r>
              <w:rPr>
                <w:rFonts w:hAnsi="宋体" w:cs="宋体" w:hint="eastAsia"/>
              </w:rPr>
              <w:t>综合揭示动物发育的本质规律。</w:t>
            </w:r>
          </w:p>
        </w:tc>
        <w:tc>
          <w:tcPr>
            <w:tcW w:w="1588" w:type="pct"/>
            <w:vAlign w:val="center"/>
          </w:tcPr>
          <w:p w14:paraId="7A676AC2" w14:textId="77777777" w:rsidR="006103C8" w:rsidRDefault="003A02D5">
            <w:pPr>
              <w:pStyle w:val="a3"/>
              <w:spacing w:beforeLines="50" w:before="156" w:afterLines="50" w:after="156"/>
              <w:rPr>
                <w:rFonts w:hAnsi="宋体" w:cs="宋体"/>
              </w:rPr>
            </w:pPr>
            <w:r>
              <w:rPr>
                <w:rFonts w:hAnsi="宋体" w:cs="宋体" w:hint="eastAsia"/>
              </w:rPr>
              <w:t>1</w:t>
            </w:r>
            <w:r>
              <w:rPr>
                <w:rFonts w:hAnsi="宋体" w:cs="宋体"/>
              </w:rPr>
              <w:t>.1</w:t>
            </w:r>
            <w:r>
              <w:rPr>
                <w:rFonts w:hAnsi="宋体" w:cs="宋体" w:hint="eastAsia"/>
              </w:rPr>
              <w:t>通过学习多细胞动物（包括人类）的个体发育模式、细胞命运特化和胚轴形成、器官形成、细胞分化的分子机制等发育生物学的基础知识和基本理论，掌握以动物生长发育及其调控的核心知识单元。</w:t>
            </w:r>
          </w:p>
        </w:tc>
        <w:tc>
          <w:tcPr>
            <w:tcW w:w="1794" w:type="pct"/>
            <w:vAlign w:val="center"/>
          </w:tcPr>
          <w:p w14:paraId="6C7783E4" w14:textId="77777777" w:rsidR="006103C8" w:rsidRDefault="003A02D5">
            <w:pPr>
              <w:pStyle w:val="a3"/>
              <w:snapToGrid w:val="0"/>
              <w:rPr>
                <w:rFonts w:hAnsi="宋体" w:cs="宋体"/>
              </w:rPr>
            </w:pPr>
            <w:r>
              <w:rPr>
                <w:rFonts w:hAnsi="宋体" w:cs="宋体" w:hint="eastAsia"/>
              </w:rPr>
              <w:t>第二章</w:t>
            </w:r>
            <w:r>
              <w:rPr>
                <w:rFonts w:hAnsi="宋体" w:cs="宋体"/>
              </w:rPr>
              <w:t xml:space="preserve"> </w:t>
            </w:r>
            <w:r>
              <w:rPr>
                <w:rFonts w:hAnsi="宋体" w:cs="宋体"/>
              </w:rPr>
              <w:t>配子发生</w:t>
            </w:r>
          </w:p>
          <w:p w14:paraId="400BC5ED" w14:textId="77777777" w:rsidR="006103C8" w:rsidRDefault="003A02D5">
            <w:pPr>
              <w:pStyle w:val="a3"/>
              <w:snapToGrid w:val="0"/>
              <w:rPr>
                <w:rFonts w:hAnsi="宋体" w:cs="宋体"/>
              </w:rPr>
            </w:pPr>
            <w:r>
              <w:rPr>
                <w:rFonts w:hAnsi="宋体" w:cs="宋体" w:hint="eastAsia"/>
              </w:rPr>
              <w:t>第三章</w:t>
            </w:r>
            <w:r>
              <w:rPr>
                <w:rFonts w:hAnsi="宋体" w:cs="宋体"/>
              </w:rPr>
              <w:t xml:space="preserve"> </w:t>
            </w:r>
            <w:r>
              <w:rPr>
                <w:rFonts w:hAnsi="宋体" w:cs="宋体"/>
              </w:rPr>
              <w:t>受精</w:t>
            </w:r>
          </w:p>
          <w:p w14:paraId="1EB4F7EE" w14:textId="77777777" w:rsidR="006103C8" w:rsidRDefault="003A02D5">
            <w:pPr>
              <w:pStyle w:val="a3"/>
              <w:snapToGrid w:val="0"/>
              <w:rPr>
                <w:rFonts w:hAnsi="宋体" w:cs="宋体"/>
              </w:rPr>
            </w:pPr>
            <w:r>
              <w:rPr>
                <w:rFonts w:hAnsi="宋体" w:cs="宋体" w:hint="eastAsia"/>
              </w:rPr>
              <w:t>第四章</w:t>
            </w:r>
            <w:r>
              <w:rPr>
                <w:rFonts w:hAnsi="宋体" w:cs="宋体"/>
              </w:rPr>
              <w:t xml:space="preserve"> </w:t>
            </w:r>
            <w:r>
              <w:rPr>
                <w:rFonts w:hAnsi="宋体" w:cs="宋体"/>
              </w:rPr>
              <w:t>卵裂</w:t>
            </w:r>
          </w:p>
          <w:p w14:paraId="1F982F58" w14:textId="77777777" w:rsidR="006103C8" w:rsidRDefault="003A02D5">
            <w:pPr>
              <w:pStyle w:val="a3"/>
              <w:snapToGrid w:val="0"/>
              <w:rPr>
                <w:rFonts w:hAnsi="宋体" w:cs="宋体"/>
              </w:rPr>
            </w:pPr>
            <w:r>
              <w:rPr>
                <w:rFonts w:hAnsi="宋体" w:cs="宋体" w:hint="eastAsia"/>
              </w:rPr>
              <w:t>第五章</w:t>
            </w:r>
            <w:r>
              <w:rPr>
                <w:rFonts w:hAnsi="宋体" w:cs="宋体"/>
              </w:rPr>
              <w:t xml:space="preserve"> </w:t>
            </w:r>
            <w:r>
              <w:rPr>
                <w:rFonts w:hAnsi="宋体" w:cs="宋体"/>
              </w:rPr>
              <w:t>原肠胚形成</w:t>
            </w:r>
          </w:p>
          <w:p w14:paraId="2C5CFA31" w14:textId="77777777" w:rsidR="006103C8" w:rsidRDefault="003A02D5">
            <w:pPr>
              <w:pStyle w:val="a3"/>
              <w:snapToGrid w:val="0"/>
              <w:rPr>
                <w:rFonts w:hAnsi="宋体" w:cs="宋体"/>
              </w:rPr>
            </w:pPr>
            <w:r>
              <w:rPr>
                <w:rFonts w:hAnsi="宋体" w:cs="宋体" w:hint="eastAsia"/>
              </w:rPr>
              <w:t>第六章</w:t>
            </w:r>
            <w:r>
              <w:rPr>
                <w:rFonts w:hAnsi="宋体" w:cs="宋体"/>
              </w:rPr>
              <w:t xml:space="preserve"> </w:t>
            </w:r>
            <w:r>
              <w:rPr>
                <w:rFonts w:hAnsi="宋体" w:cs="宋体"/>
              </w:rPr>
              <w:t>胎膜和胎盘</w:t>
            </w:r>
            <w:r>
              <w:rPr>
                <w:rFonts w:hAnsi="宋体" w:cs="宋体"/>
              </w:rPr>
              <w:t xml:space="preserve"> </w:t>
            </w:r>
          </w:p>
          <w:p w14:paraId="05F6FEA0" w14:textId="77777777" w:rsidR="006103C8" w:rsidRDefault="003A02D5">
            <w:pPr>
              <w:pStyle w:val="a3"/>
              <w:snapToGrid w:val="0"/>
              <w:rPr>
                <w:rFonts w:hAnsi="宋体" w:cs="宋体"/>
              </w:rPr>
            </w:pPr>
            <w:r>
              <w:rPr>
                <w:rFonts w:hAnsi="宋体" w:cs="宋体" w:hint="eastAsia"/>
              </w:rPr>
              <w:t>第九章</w:t>
            </w:r>
            <w:r>
              <w:rPr>
                <w:rFonts w:hAnsi="宋体" w:cs="宋体"/>
              </w:rPr>
              <w:t xml:space="preserve"> </w:t>
            </w:r>
            <w:r>
              <w:rPr>
                <w:rFonts w:hAnsi="宋体" w:cs="宋体"/>
              </w:rPr>
              <w:t>胚胎细胞命运的决定</w:t>
            </w:r>
            <w:r>
              <w:rPr>
                <w:rFonts w:hAnsi="宋体" w:cs="宋体"/>
              </w:rPr>
              <w:t xml:space="preserve"> </w:t>
            </w:r>
          </w:p>
          <w:p w14:paraId="6F92E4EA" w14:textId="77777777" w:rsidR="006103C8" w:rsidRDefault="003A02D5">
            <w:pPr>
              <w:pStyle w:val="a3"/>
              <w:snapToGrid w:val="0"/>
              <w:rPr>
                <w:rFonts w:hAnsi="宋体" w:cs="宋体"/>
              </w:rPr>
            </w:pPr>
            <w:r>
              <w:rPr>
                <w:rFonts w:hAnsi="宋体" w:cs="宋体" w:hint="eastAsia"/>
              </w:rPr>
              <w:t>第十章</w:t>
            </w:r>
            <w:r>
              <w:rPr>
                <w:rFonts w:hAnsi="宋体" w:cs="宋体"/>
              </w:rPr>
              <w:t xml:space="preserve"> </w:t>
            </w:r>
            <w:r>
              <w:rPr>
                <w:rFonts w:hAnsi="宋体" w:cs="宋体"/>
              </w:rPr>
              <w:t>果蝇胚胎体轴的建立</w:t>
            </w:r>
            <w:r>
              <w:rPr>
                <w:rFonts w:hAnsi="宋体" w:cs="宋体"/>
              </w:rPr>
              <w:t xml:space="preserve"> </w:t>
            </w:r>
          </w:p>
          <w:p w14:paraId="7164C5F6" w14:textId="77777777" w:rsidR="006103C8" w:rsidRDefault="003A02D5">
            <w:pPr>
              <w:pStyle w:val="a3"/>
              <w:snapToGrid w:val="0"/>
              <w:rPr>
                <w:rFonts w:hAnsi="宋体" w:cs="宋体"/>
              </w:rPr>
            </w:pPr>
            <w:r>
              <w:rPr>
                <w:rFonts w:hAnsi="宋体" w:cs="宋体" w:hint="eastAsia"/>
              </w:rPr>
              <w:t>第十一章</w:t>
            </w:r>
            <w:r>
              <w:rPr>
                <w:rFonts w:hAnsi="宋体" w:cs="宋体"/>
              </w:rPr>
              <w:t xml:space="preserve"> </w:t>
            </w:r>
            <w:r>
              <w:rPr>
                <w:rFonts w:hAnsi="宋体" w:cs="宋体"/>
              </w:rPr>
              <w:t>外胚层的分化和相关器官的发生</w:t>
            </w:r>
            <w:r>
              <w:rPr>
                <w:rFonts w:hAnsi="宋体" w:cs="宋体"/>
              </w:rPr>
              <w:t xml:space="preserve"> </w:t>
            </w:r>
          </w:p>
          <w:p w14:paraId="420B705E" w14:textId="77777777" w:rsidR="006103C8" w:rsidRDefault="003A02D5">
            <w:pPr>
              <w:pStyle w:val="a3"/>
              <w:snapToGrid w:val="0"/>
              <w:rPr>
                <w:rFonts w:hAnsi="宋体" w:cs="宋体"/>
              </w:rPr>
            </w:pPr>
            <w:r>
              <w:rPr>
                <w:rFonts w:hAnsi="宋体" w:cs="宋体" w:hint="eastAsia"/>
              </w:rPr>
              <w:t>第十二章</w:t>
            </w:r>
            <w:r>
              <w:rPr>
                <w:rFonts w:hAnsi="宋体" w:cs="宋体"/>
              </w:rPr>
              <w:t xml:space="preserve"> </w:t>
            </w:r>
            <w:r>
              <w:rPr>
                <w:rFonts w:hAnsi="宋体" w:cs="宋体"/>
              </w:rPr>
              <w:t>中胚层的分化和相关器官的发生</w:t>
            </w:r>
          </w:p>
          <w:p w14:paraId="4BE2A5AE" w14:textId="77777777" w:rsidR="006103C8" w:rsidRDefault="003A02D5">
            <w:pPr>
              <w:pStyle w:val="a3"/>
              <w:snapToGrid w:val="0"/>
              <w:rPr>
                <w:rFonts w:hAnsi="宋体" w:cs="宋体"/>
              </w:rPr>
            </w:pPr>
            <w:r>
              <w:rPr>
                <w:rFonts w:hAnsi="宋体" w:cs="宋体" w:hint="eastAsia"/>
              </w:rPr>
              <w:t>第十三章</w:t>
            </w:r>
            <w:r>
              <w:rPr>
                <w:rFonts w:hAnsi="宋体" w:cs="宋体"/>
              </w:rPr>
              <w:t xml:space="preserve"> </w:t>
            </w:r>
            <w:r>
              <w:rPr>
                <w:rFonts w:hAnsi="宋体" w:cs="宋体"/>
              </w:rPr>
              <w:t>内胚层的分化和相关器官的发生</w:t>
            </w:r>
          </w:p>
          <w:p w14:paraId="50FAF4C1" w14:textId="77777777" w:rsidR="006103C8" w:rsidRDefault="003A02D5">
            <w:pPr>
              <w:pStyle w:val="a3"/>
              <w:snapToGrid w:val="0"/>
              <w:rPr>
                <w:rFonts w:hAnsi="宋体" w:cs="宋体"/>
              </w:rPr>
            </w:pPr>
            <w:r>
              <w:rPr>
                <w:rFonts w:hAnsi="宋体" w:cs="宋体" w:hint="eastAsia"/>
              </w:rPr>
              <w:t>第十四章</w:t>
            </w:r>
            <w:r>
              <w:rPr>
                <w:rFonts w:hAnsi="宋体" w:cs="宋体"/>
              </w:rPr>
              <w:t xml:space="preserve"> </w:t>
            </w:r>
            <w:r>
              <w:rPr>
                <w:rFonts w:hAnsi="宋体" w:cs="宋体"/>
              </w:rPr>
              <w:t>肢的发育</w:t>
            </w:r>
          </w:p>
        </w:tc>
        <w:tc>
          <w:tcPr>
            <w:tcW w:w="901" w:type="pct"/>
            <w:vAlign w:val="center"/>
          </w:tcPr>
          <w:p w14:paraId="468C6335" w14:textId="77777777" w:rsidR="006103C8" w:rsidRDefault="003A02D5">
            <w:pPr>
              <w:pStyle w:val="a3"/>
              <w:snapToGrid w:val="0"/>
              <w:rPr>
                <w:rFonts w:ascii="黑体" w:hAnsi="宋体"/>
                <w:b/>
                <w:bCs/>
                <w:szCs w:val="21"/>
              </w:rPr>
            </w:pPr>
            <w:r>
              <w:rPr>
                <w:rFonts w:hAnsi="宋体" w:cs="宋体" w:hint="eastAsia"/>
              </w:rPr>
              <w:t>核心知识单元“动物生长发育及其调控”</w:t>
            </w:r>
          </w:p>
        </w:tc>
      </w:tr>
      <w:tr w:rsidR="006103C8" w14:paraId="0FD93494" w14:textId="77777777">
        <w:trPr>
          <w:trHeight w:val="3061"/>
          <w:jc w:val="center"/>
        </w:trPr>
        <w:tc>
          <w:tcPr>
            <w:tcW w:w="717" w:type="pct"/>
            <w:vMerge/>
            <w:vAlign w:val="center"/>
          </w:tcPr>
          <w:p w14:paraId="7097A74A" w14:textId="77777777" w:rsidR="006103C8" w:rsidRDefault="006103C8">
            <w:pPr>
              <w:pStyle w:val="a3"/>
              <w:snapToGrid w:val="0"/>
              <w:rPr>
                <w:rFonts w:hAnsi="宋体"/>
                <w:b/>
                <w:bCs/>
                <w:kern w:val="0"/>
                <w:sz w:val="20"/>
                <w:szCs w:val="21"/>
              </w:rPr>
            </w:pPr>
          </w:p>
        </w:tc>
        <w:tc>
          <w:tcPr>
            <w:tcW w:w="1588" w:type="pct"/>
            <w:vAlign w:val="center"/>
          </w:tcPr>
          <w:p w14:paraId="04F9BB1F" w14:textId="77777777" w:rsidR="006103C8" w:rsidRDefault="003A02D5">
            <w:pPr>
              <w:pStyle w:val="a3"/>
              <w:spacing w:beforeLines="50" w:before="156" w:afterLines="50" w:after="156"/>
              <w:rPr>
                <w:rFonts w:hAnsi="宋体" w:cs="宋体"/>
              </w:rPr>
            </w:pPr>
            <w:r>
              <w:rPr>
                <w:rFonts w:hAnsi="宋体" w:cs="宋体" w:hint="eastAsia"/>
              </w:rPr>
              <w:t>1</w:t>
            </w:r>
            <w:r>
              <w:rPr>
                <w:rFonts w:hAnsi="宋体" w:cs="宋体"/>
              </w:rPr>
              <w:t>.2</w:t>
            </w:r>
            <w:r>
              <w:rPr>
                <w:rFonts w:hAnsi="宋体" w:cs="宋体" w:hint="eastAsia"/>
              </w:rPr>
              <w:t>有机结合动物生长发育及其调控的核心知识单元教学，高度综合生物学理论知识与研究技术，培养学生生物学基础与应用的跨学科知识链</w:t>
            </w:r>
            <w:r>
              <w:rPr>
                <w:rFonts w:hAnsi="宋体" w:cs="宋体" w:hint="eastAsia"/>
                <w:bCs/>
                <w:szCs w:val="21"/>
              </w:rPr>
              <w:t>，锻炼学生的</w:t>
            </w:r>
            <w:r>
              <w:rPr>
                <w:rFonts w:hAnsi="宋体" w:cs="宋体" w:hint="eastAsia"/>
              </w:rPr>
              <w:t>思辨能力和批判性思维。</w:t>
            </w:r>
          </w:p>
        </w:tc>
        <w:tc>
          <w:tcPr>
            <w:tcW w:w="1794" w:type="pct"/>
            <w:vAlign w:val="center"/>
          </w:tcPr>
          <w:p w14:paraId="7B8C43D6" w14:textId="77777777" w:rsidR="006103C8" w:rsidRDefault="003A02D5">
            <w:pPr>
              <w:pStyle w:val="a3"/>
              <w:snapToGrid w:val="0"/>
              <w:rPr>
                <w:rFonts w:hAnsi="宋体" w:cs="宋体"/>
              </w:rPr>
            </w:pPr>
            <w:r>
              <w:rPr>
                <w:rFonts w:hAnsi="宋体" w:cs="宋体" w:hint="eastAsia"/>
              </w:rPr>
              <w:t>第一章</w:t>
            </w:r>
            <w:r>
              <w:rPr>
                <w:rFonts w:hAnsi="宋体" w:cs="宋体" w:hint="eastAsia"/>
              </w:rPr>
              <w:t xml:space="preserve"> </w:t>
            </w:r>
            <w:r>
              <w:rPr>
                <w:rFonts w:hAnsi="宋体" w:cs="宋体" w:hint="eastAsia"/>
              </w:rPr>
              <w:t>绪论</w:t>
            </w:r>
          </w:p>
          <w:p w14:paraId="4F13760E" w14:textId="77777777" w:rsidR="006103C8" w:rsidRDefault="003A02D5">
            <w:pPr>
              <w:pStyle w:val="a3"/>
              <w:snapToGrid w:val="0"/>
              <w:rPr>
                <w:rFonts w:hAnsi="宋体" w:cs="宋体"/>
              </w:rPr>
            </w:pPr>
            <w:r>
              <w:rPr>
                <w:rFonts w:hAnsi="宋体" w:cs="宋体" w:hint="eastAsia"/>
              </w:rPr>
              <w:t>第二章</w:t>
            </w:r>
            <w:r>
              <w:rPr>
                <w:rFonts w:hAnsi="宋体" w:cs="宋体"/>
              </w:rPr>
              <w:t xml:space="preserve"> </w:t>
            </w:r>
            <w:r>
              <w:rPr>
                <w:rFonts w:hAnsi="宋体" w:cs="宋体"/>
              </w:rPr>
              <w:t>配子发生</w:t>
            </w:r>
          </w:p>
          <w:p w14:paraId="38A4E71B" w14:textId="77777777" w:rsidR="006103C8" w:rsidRDefault="003A02D5">
            <w:pPr>
              <w:pStyle w:val="a3"/>
              <w:snapToGrid w:val="0"/>
              <w:rPr>
                <w:rFonts w:hAnsi="宋体" w:cs="宋体"/>
              </w:rPr>
            </w:pPr>
            <w:r>
              <w:rPr>
                <w:rFonts w:hAnsi="宋体" w:cs="宋体" w:hint="eastAsia"/>
              </w:rPr>
              <w:t>第三章</w:t>
            </w:r>
            <w:r>
              <w:rPr>
                <w:rFonts w:hAnsi="宋体" w:cs="宋体"/>
              </w:rPr>
              <w:t xml:space="preserve"> </w:t>
            </w:r>
            <w:r>
              <w:rPr>
                <w:rFonts w:hAnsi="宋体" w:cs="宋体"/>
              </w:rPr>
              <w:t>受精</w:t>
            </w:r>
          </w:p>
          <w:p w14:paraId="2942BF7E" w14:textId="77777777" w:rsidR="006103C8" w:rsidRDefault="003A02D5">
            <w:pPr>
              <w:pStyle w:val="a3"/>
              <w:snapToGrid w:val="0"/>
              <w:rPr>
                <w:rFonts w:hAnsi="宋体" w:cs="宋体"/>
              </w:rPr>
            </w:pPr>
            <w:r>
              <w:rPr>
                <w:rFonts w:hAnsi="宋体" w:cs="宋体" w:hint="eastAsia"/>
              </w:rPr>
              <w:t>第四章</w:t>
            </w:r>
            <w:r>
              <w:rPr>
                <w:rFonts w:hAnsi="宋体" w:cs="宋体"/>
              </w:rPr>
              <w:t xml:space="preserve"> </w:t>
            </w:r>
            <w:r>
              <w:rPr>
                <w:rFonts w:hAnsi="宋体" w:cs="宋体"/>
              </w:rPr>
              <w:t>卵裂</w:t>
            </w:r>
          </w:p>
          <w:p w14:paraId="00B8FF99" w14:textId="77777777" w:rsidR="006103C8" w:rsidRDefault="003A02D5">
            <w:pPr>
              <w:pStyle w:val="a3"/>
              <w:snapToGrid w:val="0"/>
              <w:rPr>
                <w:rFonts w:hAnsi="宋体" w:cs="宋体"/>
              </w:rPr>
            </w:pPr>
            <w:r>
              <w:rPr>
                <w:rFonts w:hAnsi="宋体" w:cs="宋体" w:hint="eastAsia"/>
              </w:rPr>
              <w:t>第五章</w:t>
            </w:r>
            <w:r>
              <w:rPr>
                <w:rFonts w:hAnsi="宋体" w:cs="宋体"/>
              </w:rPr>
              <w:t xml:space="preserve"> </w:t>
            </w:r>
            <w:r>
              <w:rPr>
                <w:rFonts w:hAnsi="宋体" w:cs="宋体"/>
              </w:rPr>
              <w:t>原肠胚形成</w:t>
            </w:r>
          </w:p>
          <w:p w14:paraId="5432343F" w14:textId="77777777" w:rsidR="006103C8" w:rsidRDefault="003A02D5">
            <w:pPr>
              <w:pStyle w:val="a3"/>
              <w:snapToGrid w:val="0"/>
              <w:rPr>
                <w:rFonts w:hAnsi="宋体" w:cs="宋体"/>
              </w:rPr>
            </w:pPr>
            <w:r>
              <w:rPr>
                <w:rFonts w:hAnsi="宋体" w:cs="宋体" w:hint="eastAsia"/>
              </w:rPr>
              <w:t>第七章</w:t>
            </w:r>
            <w:r>
              <w:rPr>
                <w:rFonts w:hAnsi="宋体" w:cs="宋体"/>
              </w:rPr>
              <w:t xml:space="preserve"> </w:t>
            </w:r>
            <w:r>
              <w:rPr>
                <w:rFonts w:hAnsi="宋体" w:cs="宋体"/>
              </w:rPr>
              <w:t>形态发生的细胞学基础</w:t>
            </w:r>
            <w:r>
              <w:rPr>
                <w:rFonts w:hAnsi="宋体" w:cs="宋体"/>
              </w:rPr>
              <w:t xml:space="preserve"> </w:t>
            </w:r>
          </w:p>
          <w:p w14:paraId="250B4069" w14:textId="77777777" w:rsidR="006103C8" w:rsidRDefault="003A02D5">
            <w:pPr>
              <w:pStyle w:val="a3"/>
              <w:snapToGrid w:val="0"/>
              <w:rPr>
                <w:rFonts w:hAnsi="宋体" w:cs="宋体"/>
              </w:rPr>
            </w:pPr>
            <w:r>
              <w:rPr>
                <w:rFonts w:hAnsi="宋体" w:cs="宋体" w:hint="eastAsia"/>
              </w:rPr>
              <w:t>第八章</w:t>
            </w:r>
            <w:r>
              <w:rPr>
                <w:rFonts w:hAnsi="宋体" w:cs="宋体" w:hint="eastAsia"/>
              </w:rPr>
              <w:t xml:space="preserve"> </w:t>
            </w:r>
            <w:r>
              <w:rPr>
                <w:rFonts w:hAnsi="宋体" w:cs="宋体"/>
              </w:rPr>
              <w:t>基因组的恒定性与差异的基因表达</w:t>
            </w:r>
            <w:r>
              <w:rPr>
                <w:rFonts w:hAnsi="宋体" w:cs="宋体"/>
              </w:rPr>
              <w:t xml:space="preserve"> </w:t>
            </w:r>
          </w:p>
          <w:p w14:paraId="3BB2D430" w14:textId="77777777" w:rsidR="006103C8" w:rsidRDefault="003A02D5">
            <w:pPr>
              <w:pStyle w:val="a3"/>
              <w:snapToGrid w:val="0"/>
              <w:rPr>
                <w:rFonts w:hAnsi="宋体" w:cs="宋体"/>
              </w:rPr>
            </w:pPr>
            <w:r>
              <w:rPr>
                <w:rFonts w:hAnsi="宋体" w:cs="宋体" w:hint="eastAsia"/>
              </w:rPr>
              <w:t>第九章</w:t>
            </w:r>
            <w:r>
              <w:rPr>
                <w:rFonts w:hAnsi="宋体" w:cs="宋体"/>
              </w:rPr>
              <w:t xml:space="preserve"> </w:t>
            </w:r>
            <w:r>
              <w:rPr>
                <w:rFonts w:hAnsi="宋体" w:cs="宋体"/>
              </w:rPr>
              <w:t>胚胎细胞命运的决定</w:t>
            </w:r>
            <w:r>
              <w:rPr>
                <w:rFonts w:hAnsi="宋体" w:cs="宋体"/>
              </w:rPr>
              <w:t xml:space="preserve"> </w:t>
            </w:r>
          </w:p>
          <w:p w14:paraId="5682F952" w14:textId="77777777" w:rsidR="006103C8" w:rsidRDefault="003A02D5">
            <w:pPr>
              <w:pStyle w:val="a3"/>
              <w:snapToGrid w:val="0"/>
              <w:rPr>
                <w:rFonts w:hAnsi="宋体" w:cs="宋体"/>
              </w:rPr>
            </w:pPr>
            <w:r>
              <w:rPr>
                <w:rFonts w:hAnsi="宋体" w:cs="宋体" w:hint="eastAsia"/>
              </w:rPr>
              <w:t>第十章</w:t>
            </w:r>
            <w:r>
              <w:rPr>
                <w:rFonts w:hAnsi="宋体" w:cs="宋体"/>
              </w:rPr>
              <w:t xml:space="preserve"> </w:t>
            </w:r>
            <w:r>
              <w:rPr>
                <w:rFonts w:hAnsi="宋体" w:cs="宋体"/>
              </w:rPr>
              <w:t>果蝇胚胎体轴的建立</w:t>
            </w:r>
            <w:r>
              <w:rPr>
                <w:rFonts w:hAnsi="宋体" w:cs="宋体"/>
              </w:rPr>
              <w:t xml:space="preserve"> </w:t>
            </w:r>
          </w:p>
        </w:tc>
        <w:tc>
          <w:tcPr>
            <w:tcW w:w="901" w:type="pct"/>
            <w:vAlign w:val="center"/>
          </w:tcPr>
          <w:p w14:paraId="79A3AE5B" w14:textId="77777777" w:rsidR="006103C8" w:rsidRDefault="003A02D5">
            <w:pPr>
              <w:pStyle w:val="a3"/>
              <w:snapToGrid w:val="0"/>
              <w:rPr>
                <w:rFonts w:hAnsi="宋体" w:cs="宋体"/>
              </w:rPr>
            </w:pPr>
            <w:r>
              <w:rPr>
                <w:rFonts w:hAnsi="宋体" w:cs="宋体" w:hint="eastAsia"/>
              </w:rPr>
              <w:t>1</w:t>
            </w:r>
            <w:r>
              <w:rPr>
                <w:rFonts w:hAnsi="宋体" w:cs="宋体"/>
              </w:rPr>
              <w:t>.2.1</w:t>
            </w:r>
            <w:r>
              <w:rPr>
                <w:rFonts w:hAnsi="宋体" w:cs="宋体"/>
              </w:rPr>
              <w:t>具备良好的科学素养</w:t>
            </w:r>
          </w:p>
          <w:p w14:paraId="1764C4A9" w14:textId="77777777" w:rsidR="006103C8" w:rsidRDefault="003A02D5">
            <w:pPr>
              <w:pStyle w:val="a3"/>
              <w:snapToGrid w:val="0"/>
              <w:rPr>
                <w:rFonts w:hAnsi="宋体" w:cs="宋体"/>
              </w:rPr>
            </w:pPr>
            <w:r>
              <w:rPr>
                <w:rFonts w:hAnsi="宋体" w:cs="宋体" w:hint="eastAsia"/>
              </w:rPr>
              <w:t>1</w:t>
            </w:r>
            <w:r>
              <w:rPr>
                <w:rFonts w:hAnsi="宋体" w:cs="宋体"/>
              </w:rPr>
              <w:t>.2.2</w:t>
            </w:r>
            <w:r>
              <w:rPr>
                <w:rFonts w:hAnsi="宋体" w:cs="宋体"/>
              </w:rPr>
              <w:t>具有较强的辩证意识</w:t>
            </w:r>
          </w:p>
        </w:tc>
      </w:tr>
      <w:tr w:rsidR="006103C8" w14:paraId="20BAE7BA" w14:textId="77777777">
        <w:trPr>
          <w:trHeight w:val="3960"/>
          <w:jc w:val="center"/>
        </w:trPr>
        <w:tc>
          <w:tcPr>
            <w:tcW w:w="717" w:type="pct"/>
            <w:vAlign w:val="center"/>
          </w:tcPr>
          <w:p w14:paraId="1AC2D98D" w14:textId="77777777" w:rsidR="006103C8" w:rsidRDefault="003A02D5">
            <w:pPr>
              <w:pStyle w:val="a3"/>
              <w:spacing w:beforeLines="50" w:before="156" w:afterLines="50" w:after="156"/>
              <w:rPr>
                <w:rFonts w:hAnsi="宋体"/>
                <w:b/>
                <w:bCs/>
                <w:kern w:val="0"/>
                <w:sz w:val="20"/>
                <w:szCs w:val="21"/>
              </w:rPr>
            </w:pPr>
            <w:r>
              <w:rPr>
                <w:rFonts w:hAnsi="宋体" w:hint="eastAsia"/>
                <w:b/>
                <w:bCs/>
                <w:kern w:val="0"/>
                <w:sz w:val="20"/>
                <w:szCs w:val="21"/>
              </w:rPr>
              <w:lastRenderedPageBreak/>
              <w:t>课程目标</w:t>
            </w:r>
            <w:r>
              <w:rPr>
                <w:rFonts w:hAnsi="宋体"/>
                <w:b/>
                <w:bCs/>
                <w:kern w:val="0"/>
                <w:sz w:val="20"/>
                <w:szCs w:val="21"/>
              </w:rPr>
              <w:t xml:space="preserve">2 </w:t>
            </w:r>
            <w:r>
              <w:rPr>
                <w:rFonts w:hAnsi="宋体" w:cs="宋体" w:hint="eastAsia"/>
                <w:szCs w:val="21"/>
                <w:shd w:val="clear" w:color="auto" w:fill="FFFFFF"/>
              </w:rPr>
              <w:t>激发学生的探究学习精神，</w:t>
            </w:r>
            <w:r>
              <w:rPr>
                <w:rFonts w:hAnsi="宋体" w:cs="宋体" w:hint="eastAsia"/>
              </w:rPr>
              <w:t>引导学生养成良好的科学素养。</w:t>
            </w:r>
          </w:p>
        </w:tc>
        <w:tc>
          <w:tcPr>
            <w:tcW w:w="1588" w:type="pct"/>
            <w:vAlign w:val="center"/>
          </w:tcPr>
          <w:p w14:paraId="4020AA26" w14:textId="77777777" w:rsidR="006103C8" w:rsidRDefault="003A02D5">
            <w:pPr>
              <w:pStyle w:val="a3"/>
              <w:spacing w:beforeLines="50" w:before="156" w:afterLines="50" w:after="156"/>
              <w:rPr>
                <w:rFonts w:hAnsi="宋体" w:cs="宋体"/>
                <w:szCs w:val="21"/>
                <w:shd w:val="clear" w:color="auto" w:fill="FFFFFF"/>
              </w:rPr>
            </w:pPr>
            <w:r>
              <w:rPr>
                <w:rFonts w:hAnsi="宋体" w:cs="宋体" w:hint="eastAsia"/>
              </w:rPr>
              <w:t>2</w:t>
            </w:r>
            <w:r>
              <w:rPr>
                <w:rFonts w:hAnsi="宋体" w:cs="宋体"/>
              </w:rPr>
              <w:t>.1</w:t>
            </w:r>
            <w:r>
              <w:rPr>
                <w:rFonts w:hAnsi="宋体" w:cs="宋体" w:hint="eastAsia"/>
              </w:rPr>
              <w:t>通过性别控制、再生、衰老、肥胖、以及配子与早期胚胎的基因工程等发育生物学热点内容的设置，</w:t>
            </w:r>
            <w:r>
              <w:rPr>
                <w:rFonts w:hAnsi="宋体" w:cs="宋体" w:hint="eastAsia"/>
                <w:szCs w:val="21"/>
                <w:shd w:val="clear" w:color="auto" w:fill="FFFFFF"/>
              </w:rPr>
              <w:t>提出趣味的现象或表型，引导学生进一步提出问题，帮助学生</w:t>
            </w:r>
            <w:r>
              <w:rPr>
                <w:rFonts w:hAnsi="宋体" w:cs="宋体" w:hint="eastAsia"/>
              </w:rPr>
              <w:t>提升自主学习能力、合作意识、沟通能力、反思能力，也</w:t>
            </w:r>
            <w:r>
              <w:rPr>
                <w:rFonts w:hAnsi="宋体" w:cs="宋体" w:hint="eastAsia"/>
                <w:szCs w:val="21"/>
                <w:shd w:val="clear" w:color="auto" w:fill="FFFFFF"/>
              </w:rPr>
              <w:t>提升学生对发育生物学的应用价值认识。</w:t>
            </w:r>
          </w:p>
        </w:tc>
        <w:tc>
          <w:tcPr>
            <w:tcW w:w="1794" w:type="pct"/>
            <w:vAlign w:val="center"/>
          </w:tcPr>
          <w:p w14:paraId="402C48EC" w14:textId="77777777" w:rsidR="006103C8" w:rsidRDefault="003A02D5">
            <w:pPr>
              <w:pStyle w:val="a3"/>
              <w:snapToGrid w:val="0"/>
              <w:rPr>
                <w:rFonts w:hAnsi="宋体" w:cs="宋体"/>
              </w:rPr>
            </w:pPr>
            <w:r>
              <w:rPr>
                <w:rFonts w:hAnsi="宋体" w:cs="宋体" w:hint="eastAsia"/>
              </w:rPr>
              <w:t>第一章</w:t>
            </w:r>
            <w:r>
              <w:rPr>
                <w:rFonts w:hAnsi="宋体" w:cs="宋体" w:hint="eastAsia"/>
              </w:rPr>
              <w:t xml:space="preserve"> </w:t>
            </w:r>
            <w:r>
              <w:rPr>
                <w:rFonts w:hAnsi="宋体" w:cs="宋体" w:hint="eastAsia"/>
              </w:rPr>
              <w:t>绪论</w:t>
            </w:r>
          </w:p>
          <w:p w14:paraId="7DF66CC2" w14:textId="77777777" w:rsidR="006103C8" w:rsidRDefault="003A02D5">
            <w:pPr>
              <w:pStyle w:val="a3"/>
              <w:snapToGrid w:val="0"/>
              <w:rPr>
                <w:rFonts w:hAnsi="宋体" w:cs="宋体"/>
              </w:rPr>
            </w:pPr>
            <w:r>
              <w:rPr>
                <w:rFonts w:hAnsi="宋体" w:cs="宋体"/>
              </w:rPr>
              <w:t>第二章</w:t>
            </w:r>
            <w:r>
              <w:rPr>
                <w:rFonts w:hAnsi="宋体" w:cs="宋体" w:hint="eastAsia"/>
              </w:rPr>
              <w:t xml:space="preserve"> </w:t>
            </w:r>
            <w:r>
              <w:rPr>
                <w:rFonts w:hAnsi="宋体" w:cs="宋体" w:hint="eastAsia"/>
              </w:rPr>
              <w:t>配子发生</w:t>
            </w:r>
          </w:p>
          <w:p w14:paraId="71B7454F" w14:textId="77777777" w:rsidR="006103C8" w:rsidRDefault="003A02D5">
            <w:pPr>
              <w:pStyle w:val="a3"/>
              <w:snapToGrid w:val="0"/>
              <w:rPr>
                <w:rFonts w:hAnsi="宋体" w:cs="宋体"/>
              </w:rPr>
            </w:pPr>
            <w:r>
              <w:rPr>
                <w:rFonts w:hAnsi="宋体" w:cs="宋体" w:hint="eastAsia"/>
              </w:rPr>
              <w:t>第三章</w:t>
            </w:r>
            <w:r>
              <w:rPr>
                <w:rFonts w:hAnsi="宋体" w:cs="宋体"/>
              </w:rPr>
              <w:t xml:space="preserve"> </w:t>
            </w:r>
            <w:r>
              <w:rPr>
                <w:rFonts w:hAnsi="宋体" w:cs="宋体"/>
              </w:rPr>
              <w:t>受精</w:t>
            </w:r>
          </w:p>
          <w:p w14:paraId="1EEAEB33" w14:textId="77777777" w:rsidR="006103C8" w:rsidRDefault="003A02D5">
            <w:pPr>
              <w:pStyle w:val="a3"/>
              <w:snapToGrid w:val="0"/>
              <w:rPr>
                <w:rFonts w:hAnsi="宋体" w:cs="宋体"/>
              </w:rPr>
            </w:pPr>
            <w:r>
              <w:rPr>
                <w:rFonts w:hAnsi="宋体" w:cs="宋体" w:hint="eastAsia"/>
              </w:rPr>
              <w:t>第四章</w:t>
            </w:r>
            <w:r>
              <w:rPr>
                <w:rFonts w:hAnsi="宋体" w:cs="宋体"/>
              </w:rPr>
              <w:t xml:space="preserve"> </w:t>
            </w:r>
            <w:r>
              <w:rPr>
                <w:rFonts w:hAnsi="宋体" w:cs="宋体"/>
              </w:rPr>
              <w:t>卵裂</w:t>
            </w:r>
          </w:p>
          <w:p w14:paraId="354DD4FA" w14:textId="77777777" w:rsidR="006103C8" w:rsidRDefault="003A02D5">
            <w:pPr>
              <w:pStyle w:val="a3"/>
              <w:snapToGrid w:val="0"/>
              <w:rPr>
                <w:rFonts w:ascii="黑体" w:hAnsi="宋体"/>
                <w:b/>
                <w:bCs/>
                <w:szCs w:val="21"/>
              </w:rPr>
            </w:pPr>
            <w:r>
              <w:rPr>
                <w:rFonts w:hAnsi="宋体" w:cs="宋体" w:hint="eastAsia"/>
              </w:rPr>
              <w:t>第九章</w:t>
            </w:r>
            <w:r>
              <w:rPr>
                <w:rFonts w:hAnsi="宋体" w:cs="宋体"/>
              </w:rPr>
              <w:t xml:space="preserve"> </w:t>
            </w:r>
            <w:r>
              <w:rPr>
                <w:rFonts w:hAnsi="宋体" w:cs="宋体"/>
              </w:rPr>
              <w:t>胚胎细胞命运的决定</w:t>
            </w:r>
          </w:p>
        </w:tc>
        <w:tc>
          <w:tcPr>
            <w:tcW w:w="901" w:type="pct"/>
            <w:vAlign w:val="center"/>
          </w:tcPr>
          <w:p w14:paraId="05F03F4F" w14:textId="77777777" w:rsidR="006103C8" w:rsidRDefault="003A02D5">
            <w:pPr>
              <w:pStyle w:val="a3"/>
              <w:snapToGrid w:val="0"/>
              <w:rPr>
                <w:rFonts w:hAnsi="宋体" w:cs="宋体"/>
              </w:rPr>
            </w:pPr>
            <w:r>
              <w:rPr>
                <w:rFonts w:hAnsi="宋体" w:cs="宋体" w:hint="eastAsia"/>
              </w:rPr>
              <w:t>2</w:t>
            </w:r>
            <w:r>
              <w:rPr>
                <w:rFonts w:hAnsi="宋体" w:cs="宋体"/>
              </w:rPr>
              <w:t>.1.1</w:t>
            </w:r>
            <w:r>
              <w:rPr>
                <w:rFonts w:hAnsi="宋体" w:cs="宋体"/>
              </w:rPr>
              <w:t>富有创新精神、创业意识和创新创业能力</w:t>
            </w:r>
          </w:p>
          <w:p w14:paraId="6CB96DEC" w14:textId="77777777" w:rsidR="006103C8" w:rsidRDefault="003A02D5">
            <w:pPr>
              <w:pStyle w:val="a3"/>
              <w:snapToGrid w:val="0"/>
              <w:rPr>
                <w:rFonts w:hAnsi="宋体" w:cs="宋体"/>
              </w:rPr>
            </w:pPr>
            <w:r>
              <w:rPr>
                <w:rFonts w:hAnsi="宋体" w:cs="宋体" w:hint="eastAsia"/>
              </w:rPr>
              <w:t>2</w:t>
            </w:r>
            <w:r>
              <w:rPr>
                <w:rFonts w:hAnsi="宋体" w:cs="宋体"/>
              </w:rPr>
              <w:t>.1.2</w:t>
            </w:r>
            <w:r>
              <w:rPr>
                <w:rFonts w:hAnsi="宋体" w:cs="宋体"/>
              </w:rPr>
              <w:t>具有从事生物科学与技术及其相关领域科学研究、技术开发、人才培养的能力</w:t>
            </w:r>
          </w:p>
        </w:tc>
      </w:tr>
    </w:tbl>
    <w:p w14:paraId="3D58A11D" w14:textId="77777777" w:rsidR="006103C8" w:rsidRDefault="003A02D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C29A783"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350BF521"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26C7B0B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）了解发育生物学的发展简史</w:t>
      </w:r>
    </w:p>
    <w:p w14:paraId="55D3C32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）了解发育生物学的内涵、特点及学习方法</w:t>
      </w:r>
    </w:p>
    <w:p w14:paraId="37F3C654"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）了解动物发育的主要特征和基本规律</w:t>
      </w:r>
    </w:p>
    <w:p w14:paraId="1E0C5FB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）掌握发育生物学主要模式生物的特点</w:t>
      </w:r>
    </w:p>
    <w:p w14:paraId="5BC05867"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）了解发育生物学的主要研究技术</w:t>
      </w:r>
    </w:p>
    <w:p w14:paraId="7D0C435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A80CF0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1A9318C9"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发育生物学的内涵、特点及学习方法。</w:t>
      </w:r>
    </w:p>
    <w:p w14:paraId="182A975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.2 </w:t>
      </w:r>
      <w:r>
        <w:rPr>
          <w:rFonts w:ascii="宋体" w:eastAsia="宋体" w:hAnsi="宋体" w:cs="宋体"/>
          <w:color w:val="000000"/>
          <w:kern w:val="0"/>
          <w:szCs w:val="21"/>
        </w:rPr>
        <w:t>教学难点</w:t>
      </w:r>
    </w:p>
    <w:p w14:paraId="34FB85B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在发育生物学的内涵和特点，</w:t>
      </w:r>
      <w:r>
        <w:rPr>
          <w:rFonts w:ascii="宋体" w:eastAsia="宋体" w:hAnsi="宋体"/>
          <w:szCs w:val="21"/>
        </w:rPr>
        <w:t>动物发育的主要特征和基本规律教学过程中，有机引入</w:t>
      </w:r>
      <w:r>
        <w:rPr>
          <w:rFonts w:ascii="宋体" w:eastAsia="宋体" w:hAnsi="宋体" w:hint="eastAsia"/>
          <w:szCs w:val="21"/>
        </w:rPr>
        <w:t>发育生物学热点内容案例，帮助学生更好地掌握发育生物学主要模式生物的特点，提升学生对发育生物学的应用价值认识。</w:t>
      </w:r>
    </w:p>
    <w:p w14:paraId="3044C8E5"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59DBBAC1"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发育生物学发展简史</w:t>
      </w:r>
    </w:p>
    <w:p w14:paraId="5D98557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发育生物学研究的范围</w:t>
      </w:r>
    </w:p>
    <w:p w14:paraId="3814219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发育生物学的主要研究技术</w:t>
      </w:r>
    </w:p>
    <w:p w14:paraId="7759190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szCs w:val="21"/>
        </w:rPr>
        <w:t>发育生物学的应用前景</w:t>
      </w:r>
    </w:p>
    <w:p w14:paraId="30233CAD"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52DB85CC"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4AA8D1DA"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课堂围绕与课程主题有关的问题，展开自由讨论，教师点评或组织学生点评。包括：发育生物学研究的优势与挑战，生命科学研究者的素质和成才关键因素。</w:t>
      </w:r>
    </w:p>
    <w:p w14:paraId="498783DE"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经典模式动物和特色模式动物案例，讨论模式生物选择与个人成材。</w:t>
      </w:r>
    </w:p>
    <w:p w14:paraId="6EDAB629"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szCs w:val="21"/>
        </w:rPr>
        <w:lastRenderedPageBreak/>
        <w:t>（</w:t>
      </w:r>
      <w:r>
        <w:rPr>
          <w:rFonts w:ascii="宋体" w:eastAsia="宋体" w:hAnsi="宋体"/>
          <w:b/>
          <w:szCs w:val="21"/>
        </w:rPr>
        <w:t>4</w:t>
      </w:r>
      <w:r>
        <w:rPr>
          <w:rFonts w:ascii="宋体" w:eastAsia="宋体" w:hAnsi="宋体" w:hint="eastAsia"/>
          <w:b/>
          <w:szCs w:val="21"/>
        </w:rPr>
        <w:t>）自主学习法：</w:t>
      </w:r>
      <w:r>
        <w:rPr>
          <w:rFonts w:ascii="宋体" w:eastAsia="宋体" w:hAnsi="宋体" w:hint="eastAsia"/>
          <w:szCs w:val="21"/>
        </w:rPr>
        <w:t>基于前设的基础课和专业核心课程，进行</w:t>
      </w:r>
      <w:r>
        <w:rPr>
          <w:rFonts w:ascii="宋体" w:eastAsia="宋体" w:hAnsi="宋体" w:hint="eastAsia"/>
        </w:rPr>
        <w:t>发育生物学实用技术的回顾性学习，课后</w:t>
      </w:r>
      <w:r>
        <w:rPr>
          <w:rFonts w:ascii="宋体" w:eastAsia="宋体" w:hAnsi="宋体" w:hint="eastAsia"/>
        </w:rPr>
        <w:t>1</w:t>
      </w:r>
      <w:r>
        <w:rPr>
          <w:rFonts w:ascii="宋体" w:eastAsia="宋体" w:hAnsi="宋体" w:hint="eastAsia"/>
        </w:rPr>
        <w:t>周内提供实验室仪器和技术的见习。</w:t>
      </w:r>
    </w:p>
    <w:p w14:paraId="578B2CEB"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1470E1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DF520B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6FF5C0F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）你如何理解生命科学研究者的素质和成才关键因素？</w:t>
      </w:r>
    </w:p>
    <w:p w14:paraId="41F8702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）如何理解模式生物选择与个人成材的关系？</w:t>
      </w:r>
    </w:p>
    <w:p w14:paraId="72F3CA28" w14:textId="77777777" w:rsidR="006103C8" w:rsidRDefault="006103C8">
      <w:pPr>
        <w:widowControl/>
        <w:snapToGrid w:val="0"/>
        <w:spacing w:beforeLines="50" w:before="156" w:afterLines="50" w:after="156"/>
        <w:ind w:firstLineChars="200" w:firstLine="420"/>
        <w:jc w:val="left"/>
        <w:rPr>
          <w:rFonts w:ascii="宋体" w:eastAsia="宋体" w:hAnsi="宋体" w:cs="TimesNewRomanPSMT"/>
          <w:color w:val="000000"/>
          <w:kern w:val="0"/>
          <w:szCs w:val="21"/>
        </w:rPr>
      </w:pPr>
    </w:p>
    <w:p w14:paraId="0D9F44A4"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配子发生</w:t>
      </w:r>
    </w:p>
    <w:p w14:paraId="3218EE7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01812F7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）掌握精子与卵子发生的过程</w:t>
      </w:r>
    </w:p>
    <w:p w14:paraId="5407833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）了解精子与卵子发生的机制</w:t>
      </w:r>
    </w:p>
    <w:p w14:paraId="3F4270C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）了解动物性别控制的发育遗传类型</w:t>
      </w:r>
    </w:p>
    <w:p w14:paraId="72EE9C9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6FA8CE6"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14FC1C0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动物性别发育遗传控制机制、精子与卵子发生的过程和调控机制。</w:t>
      </w:r>
    </w:p>
    <w:p w14:paraId="26CB6B5E"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.2 </w:t>
      </w:r>
      <w:r>
        <w:rPr>
          <w:rFonts w:ascii="宋体" w:eastAsia="宋体" w:hAnsi="宋体" w:cs="宋体"/>
          <w:color w:val="000000"/>
          <w:kern w:val="0"/>
          <w:szCs w:val="21"/>
        </w:rPr>
        <w:t>教学难点</w:t>
      </w:r>
    </w:p>
    <w:p w14:paraId="64E2CB8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动物性别发育遗传控制机制。通过性别控制，以及配子与早期胚胎的基因工程等发育生物学热点内容的教学，让学生掌握发育生物学主要模式生物的特点，提升学生对发育生物学的应用价值认识。进一步地，让学生深刻意识到生殖发育的应用基础作用深刻影响着医学和农业产业，推动着畜牧人工繁殖、遗传育种和人类生殖工程等生产和医疗应用技术的发展。</w:t>
      </w:r>
    </w:p>
    <w:p w14:paraId="6BA7578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DD5D38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动物性别的发育遗传</w:t>
      </w:r>
    </w:p>
    <w:p w14:paraId="5F21854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精子发生</w:t>
      </w:r>
      <w:r>
        <w:rPr>
          <w:rFonts w:ascii="宋体" w:eastAsia="宋体" w:hAnsi="宋体"/>
          <w:szCs w:val="21"/>
        </w:rPr>
        <w:t xml:space="preserve"> </w:t>
      </w:r>
    </w:p>
    <w:p w14:paraId="24034326"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卵子发生</w:t>
      </w:r>
    </w:p>
    <w:p w14:paraId="2C33C56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5929980D"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2BBB0011"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课堂围绕与课程主题有关的问题，展开自由讨论，教师点评或组织学生点评。包括：为什么产生性别？</w:t>
      </w:r>
      <w:r>
        <w:rPr>
          <w:rFonts w:ascii="宋体" w:eastAsia="宋体" w:hAnsi="宋体"/>
        </w:rPr>
        <w:t>如何判断人的性别？</w:t>
      </w:r>
      <w:r>
        <w:rPr>
          <w:rFonts w:ascii="宋体" w:eastAsia="宋体" w:hAnsi="宋体" w:hint="eastAsia"/>
        </w:rPr>
        <w:t>雌雄同体</w:t>
      </w:r>
      <w:r>
        <w:rPr>
          <w:rFonts w:ascii="宋体" w:eastAsia="宋体" w:hAnsi="宋体"/>
        </w:rPr>
        <w:t>的生存策略；</w:t>
      </w:r>
      <w:r>
        <w:rPr>
          <w:rFonts w:ascii="宋体" w:eastAsia="宋体" w:hAnsi="宋体" w:hint="eastAsia"/>
        </w:rPr>
        <w:t>鸟类的性别与外貌—择偶选择；美貌的标准与发育遗传本质；动物同性恋及其发育遗传本质；遗传、环境对性别的决定影响、动物的性别转换等。</w:t>
      </w:r>
    </w:p>
    <w:p w14:paraId="3FFE61BF"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动物</w:t>
      </w:r>
      <w:r>
        <w:rPr>
          <w:rFonts w:ascii="Times New Roman" w:eastAsia="宋体" w:hAnsi="Times New Roman" w:cs="Times New Roman"/>
          <w:szCs w:val="21"/>
        </w:rPr>
        <w:t>不同类型性别遗传模式</w:t>
      </w:r>
      <w:r>
        <w:rPr>
          <w:rFonts w:ascii="宋体" w:eastAsia="宋体" w:hAnsi="宋体" w:hint="eastAsia"/>
        </w:rPr>
        <w:t>案例，讨论性别发育遗传模式的生物进化，思考生殖适应的生物学意义。</w:t>
      </w:r>
    </w:p>
    <w:p w14:paraId="1CF8A080"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）自主学习：</w:t>
      </w:r>
      <w:r>
        <w:rPr>
          <w:rFonts w:ascii="宋体" w:eastAsia="宋体" w:hAnsi="宋体" w:hint="eastAsia"/>
          <w:szCs w:val="21"/>
        </w:rPr>
        <w:t>基于前设的基础课和专业核心课程和网络资源，进行</w:t>
      </w:r>
      <w:r>
        <w:rPr>
          <w:rFonts w:ascii="宋体" w:eastAsia="宋体" w:hAnsi="宋体" w:hint="eastAsia"/>
        </w:rPr>
        <w:t>性别控制的技术方法学习。</w:t>
      </w:r>
    </w:p>
    <w:p w14:paraId="09320640"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5F267E1E"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2C13FEE"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lastRenderedPageBreak/>
        <w:t>5.2</w:t>
      </w:r>
      <w:r>
        <w:rPr>
          <w:rFonts w:ascii="宋体" w:eastAsia="宋体" w:hAnsi="宋体" w:hint="eastAsia"/>
          <w:szCs w:val="21"/>
        </w:rPr>
        <w:t>思考并书面回答下列问题：</w:t>
      </w:r>
    </w:p>
    <w:p w14:paraId="2ABE710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）你对动物性取向的类型如何理解？介绍和评论一种高等动物的</w:t>
      </w:r>
      <w:r>
        <w:rPr>
          <w:rFonts w:ascii="宋体" w:eastAsia="宋体" w:hAnsi="宋体"/>
          <w:szCs w:val="21"/>
        </w:rPr>
        <w:t>性取向类型。</w:t>
      </w:r>
    </w:p>
    <w:p w14:paraId="670375D4"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）你如何理解动物性别控制的意义和影响？列举性别控制的技术方法。</w:t>
      </w:r>
    </w:p>
    <w:p w14:paraId="0ACC471F" w14:textId="77777777" w:rsidR="006103C8" w:rsidRDefault="006103C8">
      <w:pPr>
        <w:snapToGrid w:val="0"/>
        <w:spacing w:before="50" w:after="50"/>
        <w:ind w:firstLineChars="171" w:firstLine="359"/>
        <w:rPr>
          <w:rFonts w:hAnsi="宋体"/>
          <w:szCs w:val="21"/>
        </w:rPr>
      </w:pPr>
    </w:p>
    <w:p w14:paraId="59D12276"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受精</w:t>
      </w:r>
    </w:p>
    <w:p w14:paraId="4723FD8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4AC21D20"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）掌握经典模式动物的受精的过程和调控机制</w:t>
      </w:r>
    </w:p>
    <w:p w14:paraId="13E442D9"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）了解精子与卵子发生的机制</w:t>
      </w:r>
    </w:p>
    <w:p w14:paraId="36E539B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）了解动物性别控制的发育遗传类型</w:t>
      </w:r>
    </w:p>
    <w:p w14:paraId="12E4659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F19531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6994F33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动物受精的过程和调控机制。</w:t>
      </w:r>
    </w:p>
    <w:p w14:paraId="124373B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40BB6BE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体内和体外不同受精类型动物的受精调控机制。</w:t>
      </w:r>
    </w:p>
    <w:p w14:paraId="71267140"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6AD38E4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精卵相遇和识别</w:t>
      </w:r>
    </w:p>
    <w:p w14:paraId="5105EE2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精卵质膜融合</w:t>
      </w:r>
    </w:p>
    <w:p w14:paraId="6B8EC04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卵子代谢的激活</w:t>
      </w:r>
    </w:p>
    <w:p w14:paraId="5E729F9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szCs w:val="21"/>
        </w:rPr>
        <w:t>雌雄原核的结合</w:t>
      </w:r>
    </w:p>
    <w:p w14:paraId="6E61F2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szCs w:val="21"/>
        </w:rPr>
        <w:t>受精卵细胞质的重新分布</w:t>
      </w:r>
    </w:p>
    <w:p w14:paraId="3E9DEF67"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4BF61810"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3B05E8E4"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课堂围绕与课程主题有关的问题，展开自由讨论，教师点评或组织学生点评。包括：体内和体外</w:t>
      </w:r>
      <w:r>
        <w:rPr>
          <w:rFonts w:ascii="宋体" w:eastAsia="宋体" w:hAnsi="宋体" w:hint="eastAsia"/>
          <w:szCs w:val="21"/>
        </w:rPr>
        <w:t>不同受精类型动物的发育遗传特点，适应性机制等</w:t>
      </w:r>
      <w:r>
        <w:rPr>
          <w:rFonts w:ascii="宋体" w:eastAsia="宋体" w:hAnsi="宋体" w:hint="eastAsia"/>
        </w:rPr>
        <w:t>。</w:t>
      </w:r>
    </w:p>
    <w:p w14:paraId="6CC44CD1"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课堂以体内受精、体外受精，以及一些特殊受精方式动物</w:t>
      </w:r>
      <w:r>
        <w:rPr>
          <w:rFonts w:ascii="宋体" w:eastAsia="宋体" w:hAnsi="宋体" w:hint="eastAsia"/>
        </w:rPr>
        <w:t>案例，讨论动物生殖发育与适应机制。</w:t>
      </w:r>
    </w:p>
    <w:p w14:paraId="41C3CD8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宋体"/>
          <w:b/>
          <w:color w:val="000000"/>
          <w:kern w:val="0"/>
          <w:szCs w:val="21"/>
        </w:rPr>
        <w:t>5.</w:t>
      </w:r>
      <w:r>
        <w:rPr>
          <w:rFonts w:ascii="宋体" w:eastAsia="宋体" w:hAnsi="宋体" w:cs="宋体" w:hint="eastAsia"/>
          <w:b/>
          <w:color w:val="000000"/>
          <w:kern w:val="0"/>
          <w:szCs w:val="21"/>
        </w:rPr>
        <w:t>教学评价</w:t>
      </w:r>
    </w:p>
    <w:p w14:paraId="0FB0D1E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0D71F359"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课外专业：</w:t>
      </w:r>
    </w:p>
    <w:p w14:paraId="6791620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）提供一种特殊的动物受精模式视频或者图文介绍。</w:t>
      </w:r>
    </w:p>
    <w:p w14:paraId="4F6B0920" w14:textId="77777777" w:rsidR="006103C8" w:rsidRDefault="006103C8">
      <w:pPr>
        <w:snapToGrid w:val="0"/>
        <w:spacing w:before="50" w:after="50"/>
        <w:rPr>
          <w:rFonts w:ascii="Times New Roman" w:eastAsia="黑体" w:hAnsi="Times New Roman"/>
          <w:szCs w:val="21"/>
        </w:rPr>
      </w:pPr>
    </w:p>
    <w:p w14:paraId="5849F541"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卵裂</w:t>
      </w:r>
      <w:r>
        <w:rPr>
          <w:rFonts w:ascii="宋体" w:eastAsia="宋体" w:hAnsi="宋体" w:cs="宋体" w:hint="eastAsia"/>
          <w:color w:val="000000"/>
          <w:kern w:val="0"/>
          <w:szCs w:val="21"/>
        </w:rPr>
        <w:t>（小四号黑体）</w:t>
      </w:r>
    </w:p>
    <w:p w14:paraId="2852964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r>
        <w:rPr>
          <w:rFonts w:ascii="宋体" w:eastAsia="宋体" w:hAnsi="宋体" w:cs="宋体" w:hint="eastAsia"/>
          <w:b/>
          <w:color w:val="000000"/>
          <w:kern w:val="0"/>
          <w:szCs w:val="21"/>
        </w:rPr>
        <w:t>（五号宋体）</w:t>
      </w:r>
    </w:p>
    <w:p w14:paraId="035C0F91"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）掌握受精卵的六种卵裂方式</w:t>
      </w:r>
    </w:p>
    <w:p w14:paraId="7DCDE51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）理解受精卵</w:t>
      </w:r>
      <w:r>
        <w:rPr>
          <w:rFonts w:ascii="宋体" w:eastAsia="宋体" w:hAnsi="宋体" w:hint="eastAsia"/>
          <w:szCs w:val="21"/>
        </w:rPr>
        <w:t>的卵裂机制</w:t>
      </w:r>
    </w:p>
    <w:p w14:paraId="5EDBBFF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F610BC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390D93F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受精卵的六种卵裂方式和调控机制。</w:t>
      </w:r>
    </w:p>
    <w:p w14:paraId="58F2D0F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7648345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）准确区分受精卵的不同卵裂方式</w:t>
      </w:r>
    </w:p>
    <w:p w14:paraId="4B0D549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w:t>
      </w:r>
      <w:r>
        <w:rPr>
          <w:rFonts w:ascii="宋体" w:eastAsia="宋体" w:hAnsi="宋体" w:hint="eastAsia"/>
          <w:szCs w:val="21"/>
        </w:rPr>
        <w:t>不同动物受精卵的卵裂方式</w:t>
      </w:r>
    </w:p>
    <w:p w14:paraId="5973BE82"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48607943"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卵裂的模式</w:t>
      </w:r>
    </w:p>
    <w:p w14:paraId="3818D8B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卵裂的调节</w:t>
      </w:r>
    </w:p>
    <w:p w14:paraId="2C3F4C2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13598CA6"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6D758848"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w:t>
      </w:r>
      <w:r>
        <w:rPr>
          <w:rFonts w:ascii="宋体" w:eastAsia="宋体" w:hAnsi="宋体" w:hint="eastAsia"/>
          <w:szCs w:val="21"/>
        </w:rPr>
        <w:t>受精卵的不同卵裂方式比较；动物的几种典型受精卵的卵裂方式描述。</w:t>
      </w:r>
    </w:p>
    <w:p w14:paraId="50FA130A"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4B93B3B"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课堂学生的表现性评价。</w:t>
      </w:r>
    </w:p>
    <w:p w14:paraId="7121FCAE" w14:textId="77777777" w:rsidR="006103C8" w:rsidRDefault="006103C8">
      <w:pPr>
        <w:snapToGrid w:val="0"/>
        <w:spacing w:before="50" w:after="50"/>
        <w:rPr>
          <w:rFonts w:ascii="Times New Roman" w:eastAsia="黑体" w:hAnsi="Times New Roman"/>
          <w:szCs w:val="21"/>
        </w:rPr>
      </w:pPr>
    </w:p>
    <w:p w14:paraId="3FE78C88"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原肠胚形成</w:t>
      </w:r>
    </w:p>
    <w:p w14:paraId="310717D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782A9C8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）了解原肠作用的七种细胞运动方式</w:t>
      </w:r>
    </w:p>
    <w:p w14:paraId="15C39F7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）了解六种发育模式动物的原</w:t>
      </w:r>
      <w:proofErr w:type="gramStart"/>
      <w:r>
        <w:rPr>
          <w:rFonts w:ascii="宋体" w:eastAsia="宋体" w:hAnsi="宋体" w:hint="eastAsia"/>
          <w:szCs w:val="21"/>
        </w:rPr>
        <w:t>肠形成</w:t>
      </w:r>
      <w:proofErr w:type="gramEnd"/>
      <w:r>
        <w:rPr>
          <w:rFonts w:ascii="宋体" w:eastAsia="宋体" w:hAnsi="宋体" w:hint="eastAsia"/>
          <w:szCs w:val="21"/>
        </w:rPr>
        <w:t>过程</w:t>
      </w:r>
    </w:p>
    <w:p w14:paraId="0CC9698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5E23CF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3493F7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原肠作用的七种细胞运动方式与胚胎细胞重组。</w:t>
      </w:r>
    </w:p>
    <w:p w14:paraId="5C14CED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254FC57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几种模式动物原肠作用的不同细胞运动方式。</w:t>
      </w:r>
    </w:p>
    <w:p w14:paraId="0057BC1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w:t>
      </w:r>
      <w:r>
        <w:rPr>
          <w:rFonts w:ascii="宋体" w:eastAsia="宋体" w:hAnsi="宋体" w:cs="TimesNewRomanPSMT" w:hint="eastAsia"/>
          <w:b/>
          <w:color w:val="000000"/>
          <w:kern w:val="0"/>
          <w:szCs w:val="21"/>
        </w:rPr>
        <w:t>内容</w:t>
      </w:r>
    </w:p>
    <w:p w14:paraId="40D70E2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proofErr w:type="gramStart"/>
      <w:r>
        <w:rPr>
          <w:rFonts w:ascii="宋体" w:eastAsia="宋体" w:hAnsi="宋体" w:hint="eastAsia"/>
          <w:szCs w:val="21"/>
        </w:rPr>
        <w:t>秀丽隐杆线虫</w:t>
      </w:r>
      <w:proofErr w:type="gramEnd"/>
      <w:r>
        <w:rPr>
          <w:rFonts w:ascii="宋体" w:eastAsia="宋体" w:hAnsi="宋体" w:hint="eastAsia"/>
          <w:szCs w:val="21"/>
        </w:rPr>
        <w:t>的原肠胚形成</w:t>
      </w:r>
    </w:p>
    <w:p w14:paraId="1547B60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果蝇的原肠胚形成</w:t>
      </w:r>
    </w:p>
    <w:p w14:paraId="7B2019E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海胆的原肠胚形成</w:t>
      </w:r>
    </w:p>
    <w:p w14:paraId="198F164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鱼类的原肠胚形成</w:t>
      </w:r>
    </w:p>
    <w:p w14:paraId="215572F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两栖类的原肠胚形成</w:t>
      </w:r>
    </w:p>
    <w:p w14:paraId="6629104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第六节</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szCs w:val="21"/>
        </w:rPr>
        <w:t>哺乳类的原肠形成</w:t>
      </w:r>
    </w:p>
    <w:p w14:paraId="5063433F"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0B17A999" w14:textId="77777777" w:rsidR="006103C8" w:rsidRDefault="003A02D5">
      <w:pPr>
        <w:widowControl/>
        <w:snapToGrid w:val="0"/>
        <w:spacing w:before="50" w:after="50"/>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r>
        <w:rPr>
          <w:rFonts w:ascii="宋体" w:eastAsia="宋体" w:hAnsi="宋体" w:hint="eastAsia"/>
          <w:szCs w:val="21"/>
        </w:rPr>
        <w:t>原肠作用的七种细胞运动方式与胚胎细胞重组。</w:t>
      </w:r>
    </w:p>
    <w:p w14:paraId="25D200AA"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教师讲解过程中，课堂围绕与课程主题有关的问题，提问和讨论发言。</w:t>
      </w:r>
    </w:p>
    <w:p w14:paraId="04704870" w14:textId="77777777" w:rsidR="006103C8" w:rsidRDefault="003A02D5">
      <w:pPr>
        <w:widowControl/>
        <w:snapToGrid w:val="0"/>
        <w:spacing w:before="50" w:after="50"/>
        <w:ind w:firstLineChars="200" w:firstLine="422"/>
        <w:jc w:val="left"/>
        <w:rPr>
          <w:rFonts w:ascii="宋体" w:eastAsia="宋体" w:hAnsi="宋体"/>
          <w:szCs w:val="21"/>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课堂围绕几种经典</w:t>
      </w:r>
      <w:r>
        <w:rPr>
          <w:rFonts w:ascii="宋体" w:eastAsia="宋体" w:hAnsi="宋体" w:hint="eastAsia"/>
        </w:rPr>
        <w:t>模式动物和特色模式动物原</w:t>
      </w:r>
      <w:proofErr w:type="gramStart"/>
      <w:r>
        <w:rPr>
          <w:rFonts w:ascii="宋体" w:eastAsia="宋体" w:hAnsi="宋体" w:hint="eastAsia"/>
        </w:rPr>
        <w:t>肠形成</w:t>
      </w:r>
      <w:proofErr w:type="gramEnd"/>
      <w:r>
        <w:rPr>
          <w:rFonts w:ascii="宋体" w:eastAsia="宋体" w:hAnsi="宋体" w:hint="eastAsia"/>
        </w:rPr>
        <w:t>案例，讨论</w:t>
      </w:r>
      <w:r>
        <w:rPr>
          <w:rFonts w:ascii="宋体" w:eastAsia="宋体" w:hAnsi="宋体" w:hint="eastAsia"/>
          <w:szCs w:val="21"/>
        </w:rPr>
        <w:t>不同细胞运动方式与胚胎细胞重组特点。</w:t>
      </w:r>
    </w:p>
    <w:p w14:paraId="62979986"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6CE9834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555EB76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2DADC3B4"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）列举一种动物的</w:t>
      </w:r>
      <w:r>
        <w:rPr>
          <w:rFonts w:ascii="宋体" w:eastAsia="宋体" w:hAnsi="宋体" w:hint="eastAsia"/>
        </w:rPr>
        <w:t>原肠形成，描述其</w:t>
      </w:r>
      <w:r>
        <w:rPr>
          <w:rFonts w:ascii="宋体" w:eastAsia="宋体" w:hAnsi="宋体" w:hint="eastAsia"/>
          <w:szCs w:val="21"/>
        </w:rPr>
        <w:t>细胞运动方式与胚胎细胞重组特点</w:t>
      </w:r>
      <w:r>
        <w:rPr>
          <w:rFonts w:ascii="宋体" w:eastAsia="宋体" w:hAnsi="宋体" w:cs="TimesNewRomanPSMT" w:hint="eastAsia"/>
          <w:color w:val="000000"/>
          <w:kern w:val="0"/>
          <w:szCs w:val="21"/>
        </w:rPr>
        <w:t>。</w:t>
      </w:r>
    </w:p>
    <w:p w14:paraId="7E39A475" w14:textId="77777777" w:rsidR="006103C8" w:rsidRDefault="006103C8">
      <w:pPr>
        <w:widowControl/>
        <w:snapToGrid w:val="0"/>
        <w:spacing w:before="50" w:after="50"/>
        <w:ind w:firstLineChars="213" w:firstLine="447"/>
        <w:rPr>
          <w:rFonts w:hAnsi="宋体"/>
          <w:szCs w:val="21"/>
        </w:rPr>
      </w:pPr>
    </w:p>
    <w:p w14:paraId="04671511"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胎膜和胎盘</w:t>
      </w:r>
    </w:p>
    <w:p w14:paraId="019FEAB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6EFB670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）区分胎膜与胎盘</w:t>
      </w:r>
    </w:p>
    <w:p w14:paraId="3DABA85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）了解胎膜与胎盘的结构与发育</w:t>
      </w:r>
    </w:p>
    <w:p w14:paraId="7D661DA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18C2F7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A04B62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肧膜、胎膜及胎盘的结构与功能。</w:t>
      </w:r>
    </w:p>
    <w:p w14:paraId="71CBCCA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32780DF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区分肧膜、胎膜及胎盘的发生和作用</w:t>
      </w:r>
    </w:p>
    <w:p w14:paraId="42BDC0EF"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49F6DB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鸡胚的肧膜</w:t>
      </w:r>
      <w:r>
        <w:rPr>
          <w:rFonts w:ascii="宋体" w:eastAsia="宋体" w:hAnsi="宋体"/>
          <w:szCs w:val="21"/>
        </w:rPr>
        <w:t xml:space="preserve"> </w:t>
      </w:r>
    </w:p>
    <w:p w14:paraId="7341A82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人胚的胎膜和胎盘</w:t>
      </w:r>
      <w:r>
        <w:rPr>
          <w:rFonts w:ascii="宋体" w:eastAsia="宋体" w:hAnsi="宋体"/>
          <w:szCs w:val="21"/>
        </w:rPr>
        <w:t xml:space="preserve"> </w:t>
      </w:r>
    </w:p>
    <w:p w14:paraId="38DBC3D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61F5F962"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r>
        <w:rPr>
          <w:rFonts w:ascii="宋体" w:eastAsia="宋体" w:hAnsi="宋体" w:hint="eastAsia"/>
          <w:szCs w:val="21"/>
        </w:rPr>
        <w:t>肧膜、胎膜及胎盘的结构与功能。</w:t>
      </w:r>
    </w:p>
    <w:p w14:paraId="346D075C"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教师讲解过程中，课堂围绕</w:t>
      </w:r>
      <w:r>
        <w:rPr>
          <w:rFonts w:ascii="宋体" w:eastAsia="宋体" w:hAnsi="宋体" w:hint="eastAsia"/>
          <w:szCs w:val="21"/>
        </w:rPr>
        <w:t>区分肧膜、胎膜及胎盘的发生和作用</w:t>
      </w:r>
      <w:r>
        <w:rPr>
          <w:rFonts w:ascii="宋体" w:eastAsia="宋体" w:hAnsi="宋体" w:hint="eastAsia"/>
        </w:rPr>
        <w:t>，提问和讨论发言。</w:t>
      </w:r>
    </w:p>
    <w:p w14:paraId="55C01755"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课堂围绕鸟类和人类</w:t>
      </w:r>
      <w:r>
        <w:rPr>
          <w:rFonts w:ascii="宋体" w:eastAsia="宋体" w:hAnsi="宋体" w:hint="eastAsia"/>
          <w:szCs w:val="21"/>
        </w:rPr>
        <w:t>胎膜及胎盘的发育</w:t>
      </w:r>
      <w:r>
        <w:rPr>
          <w:rFonts w:ascii="宋体" w:eastAsia="宋体" w:hAnsi="宋体" w:hint="eastAsia"/>
        </w:rPr>
        <w:t>案例，引入无脊椎动物（昆虫）胚膜进行发生过程和作用比较</w:t>
      </w:r>
      <w:r>
        <w:rPr>
          <w:rFonts w:ascii="宋体" w:eastAsia="宋体" w:hAnsi="宋体" w:hint="eastAsia"/>
          <w:szCs w:val="21"/>
        </w:rPr>
        <w:t>。</w:t>
      </w:r>
    </w:p>
    <w:p w14:paraId="454BF996"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EB2C3F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7B139CD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3A75997C"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）总结鸟类（鸡）的胎膜结构与发育形成过程</w:t>
      </w:r>
      <w:r>
        <w:rPr>
          <w:rFonts w:ascii="宋体" w:eastAsia="宋体" w:hAnsi="宋体" w:cs="TimesNewRomanPSMT"/>
          <w:color w:val="000000"/>
          <w:kern w:val="0"/>
          <w:szCs w:val="21"/>
        </w:rPr>
        <w:t>。</w:t>
      </w:r>
    </w:p>
    <w:p w14:paraId="4C8E03BC"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）描述哺乳类（人类）的胎膜与胎盘的结构与发育形成过程。</w:t>
      </w:r>
    </w:p>
    <w:p w14:paraId="7F322D64" w14:textId="77777777" w:rsidR="006103C8" w:rsidRDefault="006103C8">
      <w:pPr>
        <w:snapToGrid w:val="0"/>
        <w:spacing w:before="50" w:after="50"/>
        <w:rPr>
          <w:rFonts w:ascii="Times New Roman" w:eastAsia="黑体" w:hAnsi="Times New Roman"/>
          <w:szCs w:val="21"/>
        </w:rPr>
      </w:pPr>
    </w:p>
    <w:p w14:paraId="43045D53"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形态发生的细胞学基础</w:t>
      </w:r>
    </w:p>
    <w:p w14:paraId="197D06B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lastRenderedPageBreak/>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6C77012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w:t>
      </w:r>
      <w:r>
        <w:rPr>
          <w:rFonts w:ascii="宋体" w:eastAsia="宋体" w:hAnsi="宋体"/>
          <w:szCs w:val="21"/>
        </w:rPr>
        <w:t>形态发生的细胞学基础</w:t>
      </w:r>
    </w:p>
    <w:p w14:paraId="2C74263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）了解形态发生运动的细胞学基础</w:t>
      </w:r>
    </w:p>
    <w:p w14:paraId="7EEBA96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）胚胎细胞的运动</w:t>
      </w:r>
    </w:p>
    <w:p w14:paraId="31CDE96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3809F6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386F79E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胚胎细胞的运动</w:t>
      </w:r>
    </w:p>
    <w:p w14:paraId="27A52E3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06EB123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形态发生运动的细胞学基础</w:t>
      </w:r>
    </w:p>
    <w:p w14:paraId="03272CE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10F1D6E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胚胎细胞运动的基础</w:t>
      </w:r>
      <w:r>
        <w:rPr>
          <w:rFonts w:ascii="宋体" w:eastAsia="宋体" w:hAnsi="宋体"/>
          <w:szCs w:val="21"/>
        </w:rPr>
        <w:t xml:space="preserve"> </w:t>
      </w:r>
    </w:p>
    <w:p w14:paraId="28CF59D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胚胎细胞的运动</w:t>
      </w:r>
    </w:p>
    <w:p w14:paraId="35B6040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胚胎细胞的死亡与增殖</w:t>
      </w:r>
      <w:r>
        <w:rPr>
          <w:rFonts w:ascii="宋体" w:eastAsia="宋体" w:hAnsi="宋体"/>
          <w:szCs w:val="21"/>
        </w:rPr>
        <w:t xml:space="preserve"> </w:t>
      </w:r>
    </w:p>
    <w:p w14:paraId="22C5CE4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szCs w:val="21"/>
        </w:rPr>
        <w:t>干细胞</w:t>
      </w:r>
    </w:p>
    <w:p w14:paraId="19880B3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1322C2A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提出章节知识点。</w:t>
      </w:r>
    </w:p>
    <w:p w14:paraId="37933932"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szCs w:val="21"/>
        </w:rPr>
        <w:t>（</w:t>
      </w:r>
      <w:r>
        <w:rPr>
          <w:rFonts w:ascii="宋体" w:eastAsia="宋体" w:hAnsi="宋体"/>
          <w:b/>
          <w:szCs w:val="21"/>
        </w:rPr>
        <w:t>2</w:t>
      </w:r>
      <w:r>
        <w:rPr>
          <w:rFonts w:ascii="宋体" w:eastAsia="宋体" w:hAnsi="宋体" w:hint="eastAsia"/>
          <w:b/>
          <w:szCs w:val="21"/>
        </w:rPr>
        <w:t>）自主学习法：</w:t>
      </w:r>
      <w:r>
        <w:rPr>
          <w:rFonts w:ascii="宋体" w:eastAsia="宋体" w:hAnsi="宋体" w:hint="eastAsia"/>
          <w:szCs w:val="21"/>
        </w:rPr>
        <w:t>基于前设的基础课和专业核心课程，自主</w:t>
      </w:r>
      <w:r>
        <w:rPr>
          <w:rFonts w:ascii="宋体" w:eastAsia="宋体" w:hAnsi="宋体" w:hint="eastAsia"/>
        </w:rPr>
        <w:t>回顾性学习细胞程序性增殖与凋亡，</w:t>
      </w:r>
      <w:r>
        <w:rPr>
          <w:rFonts w:ascii="宋体" w:eastAsia="宋体" w:hAnsi="宋体"/>
        </w:rPr>
        <w:t>了解形态发生的细胞学基础；自主学习细胞骨架、细胞成分和结构，从细胞变形特点、细胞</w:t>
      </w:r>
      <w:proofErr w:type="gramStart"/>
      <w:r>
        <w:rPr>
          <w:rFonts w:ascii="宋体" w:eastAsia="宋体" w:hAnsi="宋体"/>
        </w:rPr>
        <w:t>间依靠</w:t>
      </w:r>
      <w:proofErr w:type="gramEnd"/>
      <w:r>
        <w:rPr>
          <w:rFonts w:ascii="宋体" w:eastAsia="宋体" w:hAnsi="宋体"/>
        </w:rPr>
        <w:t>特殊分子的选择性连接能力、细胞成分与基质黏着能力的变化等角度了解形态发生运动的细胞学基础；自主学习</w:t>
      </w:r>
      <w:r>
        <w:rPr>
          <w:rFonts w:ascii="宋体" w:eastAsia="宋体" w:hAnsi="宋体" w:hint="eastAsia"/>
        </w:rPr>
        <w:t>上皮细胞与间充质细胞的迁移路线与方向，理解</w:t>
      </w:r>
      <w:r>
        <w:rPr>
          <w:rFonts w:ascii="宋体" w:eastAsia="宋体" w:hAnsi="宋体"/>
        </w:rPr>
        <w:t>胚胎细胞的运动。</w:t>
      </w:r>
    </w:p>
    <w:p w14:paraId="2605FE8B"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4F02E9F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课程学习报告：</w:t>
      </w:r>
    </w:p>
    <w:p w14:paraId="3DD7AAC3"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）胚胎三维立体结构形成的细胞生物学解释</w:t>
      </w:r>
    </w:p>
    <w:p w14:paraId="15BECD7D" w14:textId="77777777" w:rsidR="006103C8" w:rsidRDefault="006103C8">
      <w:pPr>
        <w:snapToGrid w:val="0"/>
        <w:spacing w:before="50" w:after="50"/>
        <w:rPr>
          <w:rFonts w:ascii="Times New Roman" w:eastAsia="黑体" w:hAnsi="Times New Roman"/>
          <w:szCs w:val="21"/>
        </w:rPr>
      </w:pPr>
    </w:p>
    <w:p w14:paraId="53DDF54C"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基因组的恒定性与差异的基因表达</w:t>
      </w:r>
    </w:p>
    <w:p w14:paraId="051849F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0FDB3F8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）了解基因差异表达及其对发育的意义</w:t>
      </w:r>
    </w:p>
    <w:p w14:paraId="69212F5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）了解染色质水平和基因转录水平对发育调控的影响</w:t>
      </w:r>
    </w:p>
    <w:p w14:paraId="39218B1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w:t>
      </w:r>
      <w:r>
        <w:rPr>
          <w:rFonts w:ascii="宋体" w:eastAsia="宋体" w:hAnsi="宋体"/>
          <w:szCs w:val="21"/>
        </w:rPr>
        <w:t>RNA</w:t>
      </w:r>
      <w:r>
        <w:rPr>
          <w:rFonts w:ascii="宋体" w:eastAsia="宋体" w:hAnsi="宋体"/>
          <w:szCs w:val="21"/>
        </w:rPr>
        <w:t>加工水平调控的发育调控作用</w:t>
      </w:r>
    </w:p>
    <w:p w14:paraId="56E11E6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4</w:t>
      </w:r>
      <w:r>
        <w:rPr>
          <w:rFonts w:ascii="宋体" w:eastAsia="宋体" w:hAnsi="宋体"/>
          <w:szCs w:val="21"/>
        </w:rPr>
        <w:t>）了解蛋白质翻译水平调控的发育调控作用</w:t>
      </w:r>
    </w:p>
    <w:p w14:paraId="1558791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5</w:t>
      </w:r>
      <w:r>
        <w:rPr>
          <w:rFonts w:ascii="宋体" w:eastAsia="宋体" w:hAnsi="宋体"/>
          <w:szCs w:val="21"/>
        </w:rPr>
        <w:t>）了解蛋白质翻译后水平加工的发育调控作用</w:t>
      </w:r>
    </w:p>
    <w:p w14:paraId="7E29294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C20D00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61D84FC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细胞核机能分析，分化细胞基因组的改变，差异基因的表达。</w:t>
      </w:r>
    </w:p>
    <w:p w14:paraId="4278DBC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31946FB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）细胞全能性、</w:t>
      </w:r>
      <w:r>
        <w:rPr>
          <w:rFonts w:ascii="宋体" w:eastAsia="宋体" w:hAnsi="宋体"/>
          <w:szCs w:val="21"/>
        </w:rPr>
        <w:t>细胞核全能性、分化细胞基因组的改变</w:t>
      </w:r>
    </w:p>
    <w:p w14:paraId="268F3E3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）基因表达的时空调控对发育调控的作用</w:t>
      </w:r>
    </w:p>
    <w:p w14:paraId="605373D0"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7C8EE19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细胞核机能分析</w:t>
      </w:r>
      <w:r>
        <w:rPr>
          <w:rFonts w:ascii="宋体" w:eastAsia="宋体" w:hAnsi="宋体"/>
          <w:szCs w:val="21"/>
        </w:rPr>
        <w:t xml:space="preserve"> </w:t>
      </w:r>
    </w:p>
    <w:p w14:paraId="1071D8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分化细胞基因组的改变</w:t>
      </w:r>
      <w:r>
        <w:rPr>
          <w:rFonts w:ascii="宋体" w:eastAsia="宋体" w:hAnsi="宋体"/>
          <w:szCs w:val="21"/>
        </w:rPr>
        <w:t xml:space="preserve"> </w:t>
      </w:r>
    </w:p>
    <w:p w14:paraId="7A8B23E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差异基因的表达</w:t>
      </w:r>
    </w:p>
    <w:p w14:paraId="46EC3AD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6F9B1F1A"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2D051B16"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课堂围绕与课程主题有关的问题，展开自由讨论，教师点评或组织学生点评。包括：细胞全能性</w:t>
      </w:r>
      <w:r>
        <w:rPr>
          <w:rFonts w:ascii="宋体" w:eastAsia="宋体" w:hAnsi="宋体" w:hint="eastAsia"/>
        </w:rPr>
        <w:t>/</w:t>
      </w:r>
      <w:r>
        <w:rPr>
          <w:rFonts w:ascii="宋体" w:eastAsia="宋体" w:hAnsi="宋体" w:hint="eastAsia"/>
        </w:rPr>
        <w:t>细胞核全能性</w:t>
      </w:r>
      <w:r>
        <w:rPr>
          <w:rFonts w:ascii="宋体" w:eastAsia="宋体" w:hAnsi="宋体" w:hint="eastAsia"/>
        </w:rPr>
        <w:t>/</w:t>
      </w:r>
      <w:r>
        <w:rPr>
          <w:rFonts w:ascii="宋体" w:eastAsia="宋体" w:hAnsi="宋体" w:hint="eastAsia"/>
        </w:rPr>
        <w:t>分化细胞基因组的改变；</w:t>
      </w:r>
      <w:r>
        <w:rPr>
          <w:rFonts w:ascii="宋体" w:eastAsia="宋体" w:hAnsi="宋体" w:hint="eastAsia"/>
          <w:szCs w:val="21"/>
        </w:rPr>
        <w:t>孩子为什么有的像妈妈，有的像爸爸？</w:t>
      </w:r>
    </w:p>
    <w:p w14:paraId="37ECF18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经典模式动物和特色模式动物案例，讨论模式生物选择与个人成材。如动物的合胞体和疾病组织细胞基因删除；人类和动物的嵌合体发生；</w:t>
      </w:r>
      <w:r>
        <w:rPr>
          <w:rFonts w:ascii="宋体" w:eastAsia="宋体" w:hAnsi="宋体" w:hint="eastAsia"/>
          <w:bCs/>
        </w:rPr>
        <w:t>同源异形基因的调控性器官发育差异</w:t>
      </w:r>
      <w:r>
        <w:rPr>
          <w:rFonts w:ascii="宋体" w:eastAsia="宋体" w:hAnsi="宋体" w:hint="eastAsia"/>
        </w:rPr>
        <w:t>等。</w:t>
      </w:r>
    </w:p>
    <w:p w14:paraId="17FAE6BE"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F72D5E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4385A2D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78C4DF5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）根据</w:t>
      </w:r>
      <w:r>
        <w:rPr>
          <w:rFonts w:ascii="宋体" w:eastAsia="宋体" w:hAnsi="宋体"/>
          <w:szCs w:val="21"/>
        </w:rPr>
        <w:t>基因表达时空差异对发育</w:t>
      </w:r>
      <w:r>
        <w:rPr>
          <w:rFonts w:ascii="宋体" w:eastAsia="宋体" w:hAnsi="宋体"/>
          <w:szCs w:val="21"/>
        </w:rPr>
        <w:t>的调控作用机制，设计对某个功能基因的时空表达介入影响，研究确认基因作用的实验方案。</w:t>
      </w:r>
    </w:p>
    <w:p w14:paraId="33B98A50" w14:textId="77777777" w:rsidR="006103C8" w:rsidRDefault="006103C8">
      <w:pPr>
        <w:widowControl/>
        <w:snapToGrid w:val="0"/>
        <w:spacing w:beforeLines="50" w:before="156" w:afterLines="50" w:after="156"/>
        <w:ind w:firstLineChars="200" w:firstLine="482"/>
        <w:jc w:val="left"/>
        <w:rPr>
          <w:rFonts w:ascii="黑体" w:eastAsia="黑体" w:hAnsi="黑体" w:cs="Times New Roman"/>
          <w:b/>
          <w:sz w:val="24"/>
          <w:szCs w:val="24"/>
        </w:rPr>
      </w:pPr>
    </w:p>
    <w:p w14:paraId="6FFBFA66"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胚胎细胞命运的决定</w:t>
      </w:r>
    </w:p>
    <w:p w14:paraId="30C20501"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1E46CB3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）了解发育中的信号传导途径、信号活性的调控与相互关联</w:t>
      </w:r>
    </w:p>
    <w:p w14:paraId="1CEE93E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）掌握胚胎诱导作用的方式和机理</w:t>
      </w:r>
    </w:p>
    <w:p w14:paraId="07AD1B7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w:t>
      </w:r>
      <w:r>
        <w:rPr>
          <w:rFonts w:ascii="宋体" w:eastAsia="宋体" w:hAnsi="宋体" w:hint="eastAsia"/>
          <w:szCs w:val="21"/>
        </w:rPr>
        <w:t>胚胎发育过程种细胞的命运变化</w:t>
      </w:r>
    </w:p>
    <w:p w14:paraId="1702E166"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648DB8A1"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2BF0E9A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发育中的信号传导途径、信号活性的调控与相互关联</w:t>
      </w:r>
    </w:p>
    <w:p w14:paraId="543FA9F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掌握胚胎诱导作用的方式和机理</w:t>
      </w:r>
    </w:p>
    <w:p w14:paraId="296858D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2324664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胚胎发育过程种细胞的命运变化机制</w:t>
      </w:r>
    </w:p>
    <w:p w14:paraId="46757509"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2317A4A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w:t>
      </w:r>
      <w:r>
        <w:rPr>
          <w:rFonts w:ascii="宋体" w:eastAsia="宋体" w:hAnsi="宋体"/>
          <w:szCs w:val="21"/>
        </w:rPr>
        <w:t xml:space="preserve"> </w:t>
      </w:r>
      <w:r>
        <w:rPr>
          <w:rFonts w:ascii="宋体" w:eastAsia="宋体" w:hAnsi="宋体"/>
          <w:szCs w:val="21"/>
        </w:rPr>
        <w:t>形态发生决定子与自主特化</w:t>
      </w:r>
      <w:r>
        <w:rPr>
          <w:rFonts w:ascii="宋体" w:eastAsia="宋体" w:hAnsi="宋体"/>
          <w:szCs w:val="21"/>
        </w:rPr>
        <w:t xml:space="preserve"> </w:t>
      </w:r>
    </w:p>
    <w:p w14:paraId="5D15427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位置信息与条件特化</w:t>
      </w:r>
      <w:r>
        <w:rPr>
          <w:rFonts w:ascii="宋体" w:eastAsia="宋体" w:hAnsi="宋体"/>
          <w:szCs w:val="21"/>
        </w:rPr>
        <w:t xml:space="preserve"> </w:t>
      </w:r>
    </w:p>
    <w:p w14:paraId="13A46D6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合胞特化</w:t>
      </w:r>
      <w:r>
        <w:rPr>
          <w:rFonts w:ascii="宋体" w:eastAsia="宋体" w:hAnsi="宋体"/>
          <w:szCs w:val="21"/>
        </w:rPr>
        <w:t xml:space="preserve"> </w:t>
      </w:r>
    </w:p>
    <w:p w14:paraId="2605166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szCs w:val="21"/>
        </w:rPr>
        <w:t>诱导：胚胎细胞的相互作用</w:t>
      </w:r>
      <w:r>
        <w:rPr>
          <w:rFonts w:ascii="宋体" w:eastAsia="宋体" w:hAnsi="宋体"/>
          <w:szCs w:val="21"/>
        </w:rPr>
        <w:t xml:space="preserve"> </w:t>
      </w:r>
    </w:p>
    <w:p w14:paraId="2C384F8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szCs w:val="21"/>
        </w:rPr>
        <w:t>诱导信号</w:t>
      </w:r>
      <w:r>
        <w:rPr>
          <w:rFonts w:ascii="宋体" w:eastAsia="宋体" w:hAnsi="宋体"/>
          <w:szCs w:val="21"/>
        </w:rPr>
        <w:t xml:space="preserve"> </w:t>
      </w:r>
    </w:p>
    <w:p w14:paraId="07506C3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szCs w:val="21"/>
        </w:rPr>
        <w:t>中胚层诱导</w:t>
      </w:r>
    </w:p>
    <w:p w14:paraId="3353BF2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2ED9718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66E5BFA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课堂围绕与课程主题有关的问题，展开自由讨论，教师点评或组织学生点评。包括：无头鼠、多头蝌蚪的胚胎细胞诱导；自主特化与条件特化动物胚胎的介入实验影响等。</w:t>
      </w:r>
    </w:p>
    <w:p w14:paraId="16F75C6A"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szCs w:val="21"/>
        </w:rPr>
        <w:t>胚胎发育过程种细胞命运变化及其影响</w:t>
      </w:r>
      <w:r>
        <w:rPr>
          <w:rFonts w:ascii="宋体" w:eastAsia="宋体" w:hAnsi="宋体" w:hint="eastAsia"/>
        </w:rPr>
        <w:t>案例，讨论组织分化和再生调控、头上长腿昆虫的发育调控、肿瘤细胞发育控制。</w:t>
      </w:r>
    </w:p>
    <w:p w14:paraId="2AA11F0F"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231400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3672A55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673CB43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）根据</w:t>
      </w:r>
      <w:r>
        <w:rPr>
          <w:rFonts w:ascii="宋体" w:eastAsia="宋体" w:hAnsi="宋体"/>
          <w:szCs w:val="21"/>
        </w:rPr>
        <w:t>基因表达时空差异对发育的调控作用机制，寻找或设计一个研究胚胎细胞相互作用的介入实验，通过一种动物的特定时期的特定位置的胚胎细胞互换移植，鉴定和解释胚胎细胞</w:t>
      </w:r>
      <w:r>
        <w:rPr>
          <w:rFonts w:ascii="宋体" w:eastAsia="宋体" w:hAnsi="宋体"/>
          <w:szCs w:val="21"/>
        </w:rPr>
        <w:t>的相互作用。</w:t>
      </w:r>
    </w:p>
    <w:p w14:paraId="1ED9D39C" w14:textId="77777777" w:rsidR="006103C8" w:rsidRDefault="006103C8">
      <w:pPr>
        <w:snapToGrid w:val="0"/>
        <w:spacing w:before="50" w:after="50"/>
        <w:rPr>
          <w:rFonts w:ascii="Times New Roman" w:eastAsia="黑体" w:hAnsi="Times New Roman"/>
          <w:szCs w:val="21"/>
        </w:rPr>
      </w:pPr>
    </w:p>
    <w:p w14:paraId="2597BB4D"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果蝇胚胎体轴的建立</w:t>
      </w:r>
    </w:p>
    <w:p w14:paraId="48F9323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1B085F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）了解果蝇胚轴形成过程和机理</w:t>
      </w:r>
    </w:p>
    <w:p w14:paraId="2B4433C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7282117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2E4A50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果蝇胚轴形成过程和调控机制。</w:t>
      </w:r>
    </w:p>
    <w:p w14:paraId="189AAF4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01429B6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果蝇从受精卵到胚轴形成过程中基因的时空表达和调控模式。</w:t>
      </w:r>
    </w:p>
    <w:p w14:paraId="734F69EB"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489F577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果蝇胚胎体轴的建立</w:t>
      </w:r>
      <w:r>
        <w:rPr>
          <w:rFonts w:ascii="宋体" w:eastAsia="宋体" w:hAnsi="宋体"/>
          <w:szCs w:val="21"/>
        </w:rPr>
        <w:t xml:space="preserve"> </w:t>
      </w:r>
    </w:p>
    <w:p w14:paraId="23EBD97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同源异型基因参与前后轴的形成</w:t>
      </w:r>
      <w:r>
        <w:rPr>
          <w:rFonts w:ascii="宋体" w:eastAsia="宋体" w:hAnsi="宋体"/>
          <w:szCs w:val="21"/>
        </w:rPr>
        <w:t xml:space="preserve"> </w:t>
      </w:r>
    </w:p>
    <w:p w14:paraId="2A032EA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果蝇胚胎背腹轴的形成</w:t>
      </w:r>
      <w:r>
        <w:rPr>
          <w:rFonts w:ascii="宋体" w:eastAsia="宋体" w:hAnsi="宋体"/>
          <w:szCs w:val="21"/>
        </w:rPr>
        <w:t xml:space="preserve">  </w:t>
      </w:r>
    </w:p>
    <w:p w14:paraId="5722B1B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6909620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28033DA7"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hint="eastAsia"/>
          <w:szCs w:val="21"/>
        </w:rPr>
        <w:t>从受精卵到胚轴形成过程中基因的时空表达和调控模式</w:t>
      </w:r>
      <w:r>
        <w:rPr>
          <w:rFonts w:ascii="宋体" w:eastAsia="宋体" w:hAnsi="宋体" w:hint="eastAsia"/>
        </w:rPr>
        <w:t>有关的问题，提问和讨论发言。</w:t>
      </w:r>
    </w:p>
    <w:p w14:paraId="1F60FA9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：以斑马鱼、鸡、爪</w:t>
      </w:r>
      <w:proofErr w:type="gramStart"/>
      <w:r>
        <w:rPr>
          <w:rFonts w:ascii="宋体" w:eastAsia="宋体" w:hAnsi="宋体" w:hint="eastAsia"/>
        </w:rPr>
        <w:t>蟾</w:t>
      </w:r>
      <w:proofErr w:type="gramEnd"/>
      <w:r>
        <w:rPr>
          <w:rFonts w:ascii="宋体" w:eastAsia="宋体" w:hAnsi="宋体" w:hint="eastAsia"/>
        </w:rPr>
        <w:t>、哺乳类的胚胎体轴形成案例，讨论不同模式生物胚胎体轴形成的关键调控机制。</w:t>
      </w:r>
    </w:p>
    <w:p w14:paraId="667A8BA2"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64BADB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2053A2C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4398F567" w14:textId="77777777" w:rsidR="006103C8" w:rsidRDefault="003A02D5">
      <w:pPr>
        <w:widowControl/>
        <w:snapToGrid w:val="0"/>
        <w:spacing w:beforeLines="50" w:before="156" w:afterLines="50" w:after="156"/>
        <w:ind w:firstLineChars="200" w:firstLine="420"/>
        <w:jc w:val="left"/>
        <w:rPr>
          <w:rFonts w:ascii="宋体" w:eastAsia="宋体" w:hAnsi="宋体"/>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）从</w:t>
      </w:r>
      <w:r>
        <w:rPr>
          <w:rFonts w:ascii="宋体" w:eastAsia="宋体" w:hAnsi="宋体" w:hint="eastAsia"/>
        </w:rPr>
        <w:t>斑马鱼、鸡、爪</w:t>
      </w:r>
      <w:proofErr w:type="gramStart"/>
      <w:r>
        <w:rPr>
          <w:rFonts w:ascii="宋体" w:eastAsia="宋体" w:hAnsi="宋体" w:hint="eastAsia"/>
        </w:rPr>
        <w:t>蟾</w:t>
      </w:r>
      <w:proofErr w:type="gramEnd"/>
      <w:r>
        <w:rPr>
          <w:rFonts w:ascii="宋体" w:eastAsia="宋体" w:hAnsi="宋体" w:hint="eastAsia"/>
        </w:rPr>
        <w:t>或哺乳类，列举一种动物与果蝇的胚胎体轴形成过程进行比较。</w:t>
      </w:r>
    </w:p>
    <w:p w14:paraId="5E0B37F9" w14:textId="77777777" w:rsidR="006103C8" w:rsidRDefault="006103C8">
      <w:pPr>
        <w:widowControl/>
        <w:snapToGrid w:val="0"/>
        <w:spacing w:beforeLines="50" w:before="156" w:afterLines="50" w:after="156"/>
        <w:ind w:firstLineChars="200" w:firstLine="482"/>
        <w:jc w:val="left"/>
        <w:rPr>
          <w:rFonts w:ascii="黑体" w:eastAsia="黑体" w:hAnsi="黑体" w:cs="Times New Roman"/>
          <w:b/>
          <w:sz w:val="24"/>
          <w:szCs w:val="24"/>
        </w:rPr>
      </w:pPr>
    </w:p>
    <w:p w14:paraId="6F6F3734"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第十一</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外胚层的分化和相关器官的发生</w:t>
      </w:r>
    </w:p>
    <w:p w14:paraId="18A5A76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2612CD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）了解神经胚和</w:t>
      </w:r>
      <w:r>
        <w:rPr>
          <w:rFonts w:ascii="宋体" w:eastAsia="宋体" w:hAnsi="宋体"/>
          <w:szCs w:val="21"/>
        </w:rPr>
        <w:t>神经管的分化</w:t>
      </w:r>
    </w:p>
    <w:p w14:paraId="3A6216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）了解</w:t>
      </w:r>
      <w:r>
        <w:rPr>
          <w:rFonts w:ascii="宋体" w:eastAsia="宋体" w:hAnsi="宋体" w:hint="eastAsia"/>
          <w:szCs w:val="21"/>
        </w:rPr>
        <w:t>外胚层分化过程</w:t>
      </w:r>
    </w:p>
    <w:p w14:paraId="6002D0D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）了解外胚层分化的主要组织和器官</w:t>
      </w:r>
    </w:p>
    <w:p w14:paraId="67121334"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3B77A8F4"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899642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神经胚，外胚层分化过程和机制。</w:t>
      </w:r>
    </w:p>
    <w:p w14:paraId="2FA4A30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5A103D6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proofErr w:type="gramStart"/>
      <w:r>
        <w:rPr>
          <w:rFonts w:ascii="宋体" w:eastAsia="宋体" w:hAnsi="宋体" w:hint="eastAsia"/>
          <w:szCs w:val="21"/>
        </w:rPr>
        <w:t>三维和</w:t>
      </w:r>
      <w:proofErr w:type="gramEnd"/>
      <w:r>
        <w:rPr>
          <w:rFonts w:ascii="宋体" w:eastAsia="宋体" w:hAnsi="宋体" w:hint="eastAsia"/>
          <w:szCs w:val="21"/>
        </w:rPr>
        <w:t>动态描述和概括</w:t>
      </w:r>
      <w:r>
        <w:rPr>
          <w:rFonts w:ascii="宋体" w:eastAsia="宋体" w:hAnsi="宋体"/>
          <w:szCs w:val="21"/>
        </w:rPr>
        <w:t>三胚层分化</w:t>
      </w:r>
    </w:p>
    <w:p w14:paraId="3C10992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）神经管的分化</w:t>
      </w:r>
    </w:p>
    <w:p w14:paraId="63CFFC8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3D17A9F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神经管的分化和中枢神经系统的发生</w:t>
      </w:r>
    </w:p>
    <w:p w14:paraId="4FDFA02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神经嵴</w:t>
      </w:r>
    </w:p>
    <w:p w14:paraId="510EC51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眼睛的发生</w:t>
      </w:r>
    </w:p>
    <w:p w14:paraId="3EABD88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第四节</w:t>
      </w:r>
      <w:r>
        <w:rPr>
          <w:rFonts w:ascii="宋体" w:eastAsia="宋体" w:hAnsi="宋体" w:hint="eastAsia"/>
          <w:szCs w:val="21"/>
        </w:rPr>
        <w:t xml:space="preserve"> </w:t>
      </w:r>
      <w:r>
        <w:rPr>
          <w:rFonts w:ascii="宋体" w:eastAsia="宋体" w:hAnsi="宋体" w:hint="eastAsia"/>
          <w:szCs w:val="21"/>
        </w:rPr>
        <w:t>外胚层基板和表皮外胚层</w:t>
      </w:r>
    </w:p>
    <w:p w14:paraId="619F60D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3A537DE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30123102"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szCs w:val="21"/>
        </w:rPr>
        <w:t>三胚层分化组织树、胚层分化的原始作用点等问题，教师在讲解过程中</w:t>
      </w:r>
      <w:r>
        <w:rPr>
          <w:rFonts w:ascii="宋体" w:eastAsia="宋体" w:hAnsi="宋体" w:hint="eastAsia"/>
          <w:szCs w:val="21"/>
        </w:rPr>
        <w:t>提问和组织学生讨论。</w:t>
      </w:r>
    </w:p>
    <w:p w14:paraId="44EED9A4"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Times New Roman" w:eastAsia="宋体" w:hAnsi="Times New Roman" w:cs="Times New Roman" w:hint="eastAsia"/>
          <w:szCs w:val="21"/>
        </w:rPr>
        <w:t>白癜风、</w:t>
      </w:r>
      <w:proofErr w:type="gramStart"/>
      <w:r>
        <w:rPr>
          <w:rFonts w:ascii="Times New Roman" w:eastAsia="宋体" w:hAnsi="Times New Roman" w:cs="Times New Roman"/>
          <w:szCs w:val="21"/>
        </w:rPr>
        <w:t>寨卡病毒</w:t>
      </w:r>
      <w:proofErr w:type="gramEnd"/>
      <w:r>
        <w:rPr>
          <w:rFonts w:ascii="Times New Roman" w:eastAsia="宋体" w:hAnsi="Times New Roman" w:cs="Times New Roman"/>
          <w:szCs w:val="21"/>
        </w:rPr>
        <w:t>导致的</w:t>
      </w:r>
      <w:r>
        <w:rPr>
          <w:rFonts w:ascii="Times New Roman" w:eastAsia="宋体" w:hAnsi="Times New Roman" w:cs="Times New Roman" w:hint="eastAsia"/>
          <w:szCs w:val="21"/>
        </w:rPr>
        <w:t>无脑（小脑）症等</w:t>
      </w:r>
      <w:r>
        <w:rPr>
          <w:rFonts w:ascii="宋体" w:eastAsia="宋体" w:hAnsi="宋体" w:hint="eastAsia"/>
        </w:rPr>
        <w:t>案例，讨论</w:t>
      </w:r>
      <w:r>
        <w:rPr>
          <w:rFonts w:ascii="宋体" w:eastAsia="宋体" w:hAnsi="宋体" w:hint="eastAsia"/>
          <w:szCs w:val="21"/>
        </w:rPr>
        <w:t>神经胚和外胚层分化过程</w:t>
      </w:r>
      <w:r>
        <w:rPr>
          <w:rFonts w:ascii="宋体" w:eastAsia="宋体" w:hAnsi="宋体" w:hint="eastAsia"/>
        </w:rPr>
        <w:t>的影响及其发育调控意义。</w:t>
      </w:r>
    </w:p>
    <w:p w14:paraId="1A20401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）任务驱动法：</w:t>
      </w:r>
      <w:r>
        <w:rPr>
          <w:rFonts w:ascii="宋体" w:eastAsia="宋体" w:hAnsi="宋体" w:hint="eastAsia"/>
          <w:szCs w:val="21"/>
        </w:rPr>
        <w:t>从教材和网络资料，自主学习人类</w:t>
      </w:r>
      <w:r>
        <w:rPr>
          <w:rFonts w:ascii="宋体" w:eastAsia="宋体" w:hAnsi="宋体"/>
          <w:szCs w:val="21"/>
        </w:rPr>
        <w:t>眼睛的形态发生过程及其</w:t>
      </w:r>
      <w:r>
        <w:rPr>
          <w:rFonts w:ascii="宋体" w:eastAsia="宋体" w:hAnsi="宋体" w:hint="eastAsia"/>
          <w:bCs/>
          <w:szCs w:val="21"/>
        </w:rPr>
        <w:t>发育的基因调控。</w:t>
      </w:r>
    </w:p>
    <w:p w14:paraId="6247B88D"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lastRenderedPageBreak/>
        <w:t>5.</w:t>
      </w:r>
      <w:r>
        <w:rPr>
          <w:rFonts w:ascii="宋体" w:eastAsia="宋体" w:hAnsi="宋体" w:cs="TimesNewRomanPSMT" w:hint="eastAsia"/>
          <w:b/>
          <w:color w:val="000000"/>
          <w:kern w:val="0"/>
          <w:szCs w:val="21"/>
        </w:rPr>
        <w:t>教学评价</w:t>
      </w:r>
    </w:p>
    <w:p w14:paraId="747FDF4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8A5696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2CC980B1"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）描述</w:t>
      </w:r>
      <w:r>
        <w:rPr>
          <w:rFonts w:ascii="宋体" w:eastAsia="宋体" w:hAnsi="宋体" w:hint="eastAsia"/>
          <w:szCs w:val="21"/>
        </w:rPr>
        <w:t>人类</w:t>
      </w:r>
      <w:r>
        <w:rPr>
          <w:rFonts w:ascii="宋体" w:eastAsia="宋体" w:hAnsi="宋体"/>
          <w:szCs w:val="21"/>
        </w:rPr>
        <w:t>眼睛的形态发生过程及其</w:t>
      </w:r>
      <w:r>
        <w:rPr>
          <w:rFonts w:ascii="宋体" w:eastAsia="宋体" w:hAnsi="宋体" w:hint="eastAsia"/>
          <w:bCs/>
          <w:szCs w:val="21"/>
        </w:rPr>
        <w:t>发育的主要调控基因。</w:t>
      </w:r>
    </w:p>
    <w:p w14:paraId="495ACBD6" w14:textId="77777777" w:rsidR="006103C8" w:rsidRDefault="006103C8">
      <w:pPr>
        <w:snapToGrid w:val="0"/>
        <w:spacing w:before="50" w:after="50"/>
        <w:rPr>
          <w:rFonts w:ascii="Times New Roman" w:eastAsia="黑体" w:hAnsi="Times New Roman"/>
          <w:szCs w:val="21"/>
        </w:rPr>
      </w:pPr>
    </w:p>
    <w:p w14:paraId="3B4A99CC"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第十二</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中胚层的分化和相关器官的发生</w:t>
      </w:r>
    </w:p>
    <w:p w14:paraId="37FB04C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33F2D55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）了解中胚层分化过程</w:t>
      </w:r>
    </w:p>
    <w:p w14:paraId="05EFCB1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）理解体节中胚层、</w:t>
      </w:r>
      <w:r>
        <w:rPr>
          <w:rFonts w:ascii="宋体" w:eastAsia="宋体" w:hAnsi="宋体" w:hint="eastAsia"/>
          <w:szCs w:val="21"/>
        </w:rPr>
        <w:t>间介中胚层、</w:t>
      </w:r>
      <w:r>
        <w:rPr>
          <w:rFonts w:ascii="宋体" w:eastAsia="宋体" w:hAnsi="宋体"/>
          <w:szCs w:val="21"/>
        </w:rPr>
        <w:t>侧板中胚层概念</w:t>
      </w:r>
    </w:p>
    <w:p w14:paraId="5B4F12B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38CC1E8"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49F79E3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中胚层分化过程和机制。</w:t>
      </w:r>
    </w:p>
    <w:p w14:paraId="3B7CD7D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3F71B1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体节中胚层、</w:t>
      </w:r>
      <w:r>
        <w:rPr>
          <w:rFonts w:ascii="宋体" w:eastAsia="宋体" w:hAnsi="宋体" w:hint="eastAsia"/>
          <w:szCs w:val="21"/>
        </w:rPr>
        <w:t>间介中胚层、</w:t>
      </w:r>
      <w:r>
        <w:rPr>
          <w:rFonts w:ascii="宋体" w:eastAsia="宋体" w:hAnsi="宋体"/>
          <w:szCs w:val="21"/>
        </w:rPr>
        <w:t>侧板中胚层的分化特点。</w:t>
      </w:r>
    </w:p>
    <w:p w14:paraId="07B02CF1"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CB8CF9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体节中胚层的分化</w:t>
      </w:r>
    </w:p>
    <w:p w14:paraId="290012D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间介中胚层的分化和肾脏的形成</w:t>
      </w:r>
    </w:p>
    <w:p w14:paraId="02DEC2A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侧板中胚层的分化</w:t>
      </w:r>
    </w:p>
    <w:p w14:paraId="36DE5BA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0B6E1CF7"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1A59E24F"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w:t>
      </w:r>
      <w:r>
        <w:rPr>
          <w:rFonts w:ascii="宋体" w:eastAsia="宋体" w:hAnsi="宋体"/>
          <w:szCs w:val="21"/>
        </w:rPr>
        <w:t>教师在讲解过程中</w:t>
      </w:r>
      <w:r>
        <w:rPr>
          <w:rFonts w:ascii="宋体" w:eastAsia="宋体" w:hAnsi="宋体" w:hint="eastAsia"/>
          <w:szCs w:val="21"/>
        </w:rPr>
        <w:t>提问和组织学生讨论。</w:t>
      </w:r>
    </w:p>
    <w:p w14:paraId="054BBB7B"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hint="eastAsia"/>
          <w:b/>
          <w:szCs w:val="21"/>
        </w:rPr>
        <w:t>（</w:t>
      </w:r>
      <w:r>
        <w:rPr>
          <w:rFonts w:ascii="宋体" w:eastAsia="宋体" w:hAnsi="宋体" w:hint="eastAsia"/>
          <w:b/>
          <w:szCs w:val="21"/>
        </w:rPr>
        <w:t>3</w:t>
      </w:r>
      <w:r>
        <w:rPr>
          <w:rFonts w:ascii="宋体" w:eastAsia="宋体" w:hAnsi="宋体" w:hint="eastAsia"/>
          <w:b/>
          <w:szCs w:val="21"/>
        </w:rPr>
        <w:t>）任务驱动法：</w:t>
      </w:r>
      <w:r>
        <w:rPr>
          <w:rFonts w:ascii="宋体" w:eastAsia="宋体" w:hAnsi="宋体" w:hint="eastAsia"/>
          <w:szCs w:val="21"/>
        </w:rPr>
        <w:t>从教材和网络资料，自主学习肾脏的</w:t>
      </w:r>
      <w:r>
        <w:rPr>
          <w:rFonts w:ascii="宋体" w:eastAsia="宋体" w:hAnsi="宋体"/>
          <w:szCs w:val="21"/>
        </w:rPr>
        <w:t>发生过程及其机制</w:t>
      </w:r>
      <w:r>
        <w:rPr>
          <w:rFonts w:ascii="宋体" w:eastAsia="宋体" w:hAnsi="宋体" w:hint="eastAsia"/>
          <w:bCs/>
          <w:szCs w:val="21"/>
        </w:rPr>
        <w:t>。</w:t>
      </w:r>
    </w:p>
    <w:p w14:paraId="45641BCD"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C8B513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77B7078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43A91632"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）描述</w:t>
      </w:r>
      <w:r>
        <w:rPr>
          <w:rFonts w:ascii="宋体" w:eastAsia="宋体" w:hAnsi="宋体" w:hint="eastAsia"/>
          <w:szCs w:val="21"/>
        </w:rPr>
        <w:t>人类肾脏形成的</w:t>
      </w:r>
      <w:r>
        <w:rPr>
          <w:rFonts w:ascii="宋体" w:eastAsia="宋体" w:hAnsi="宋体"/>
          <w:szCs w:val="21"/>
        </w:rPr>
        <w:t>发生过程及其机制</w:t>
      </w:r>
      <w:r>
        <w:rPr>
          <w:rFonts w:ascii="宋体" w:eastAsia="宋体" w:hAnsi="宋体" w:hint="eastAsia"/>
          <w:bCs/>
          <w:szCs w:val="21"/>
        </w:rPr>
        <w:t>。</w:t>
      </w:r>
    </w:p>
    <w:p w14:paraId="48C546B8" w14:textId="77777777" w:rsidR="006103C8" w:rsidRDefault="006103C8">
      <w:pPr>
        <w:widowControl/>
        <w:snapToGrid w:val="0"/>
        <w:spacing w:beforeLines="50" w:before="156" w:afterLines="50" w:after="156"/>
        <w:ind w:firstLineChars="200" w:firstLine="420"/>
        <w:jc w:val="left"/>
        <w:rPr>
          <w:rFonts w:ascii="宋体" w:eastAsia="宋体" w:hAnsi="宋体"/>
          <w:szCs w:val="21"/>
        </w:rPr>
      </w:pPr>
    </w:p>
    <w:p w14:paraId="5336D06B"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第十三</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内胚层的分化和相关器官的发生</w:t>
      </w:r>
    </w:p>
    <w:p w14:paraId="78E66EF6"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3B3BC84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了解内胚层分化过程</w:t>
      </w:r>
    </w:p>
    <w:p w14:paraId="7F7E4D3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B65FF0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2F51EF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内胚层分化过程及其调控机制。</w:t>
      </w:r>
    </w:p>
    <w:p w14:paraId="10B27DE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2A95681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内胚层分化过程调控机制。</w:t>
      </w:r>
    </w:p>
    <w:p w14:paraId="40C6B19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2197BE0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hint="eastAsia"/>
          <w:szCs w:val="21"/>
        </w:rPr>
        <w:t>原始消化管的分化</w:t>
      </w:r>
    </w:p>
    <w:p w14:paraId="5561FA0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呼吸器官的发生</w:t>
      </w:r>
    </w:p>
    <w:p w14:paraId="2AC165BD"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5868C7E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46CA6E6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w:t>
      </w:r>
      <w:r>
        <w:rPr>
          <w:rFonts w:ascii="宋体" w:eastAsia="宋体" w:hAnsi="宋体"/>
          <w:szCs w:val="21"/>
        </w:rPr>
        <w:t>教师在讲解过程中</w:t>
      </w:r>
      <w:r>
        <w:rPr>
          <w:rFonts w:ascii="宋体" w:eastAsia="宋体" w:hAnsi="宋体" w:hint="eastAsia"/>
          <w:szCs w:val="21"/>
        </w:rPr>
        <w:t>提问和组织学生讨论。</w:t>
      </w:r>
    </w:p>
    <w:p w14:paraId="5EFAD5DC" w14:textId="77777777" w:rsidR="006103C8" w:rsidRDefault="003A02D5">
      <w:pPr>
        <w:widowControl/>
        <w:snapToGrid w:val="0"/>
        <w:spacing w:beforeLines="50" w:before="156" w:afterLines="50" w:after="156"/>
        <w:ind w:firstLineChars="134" w:firstLine="282"/>
        <w:jc w:val="left"/>
        <w:rPr>
          <w:rFonts w:ascii="宋体" w:eastAsia="宋体" w:hAnsi="宋体"/>
          <w:b/>
          <w:szCs w:val="21"/>
        </w:rPr>
      </w:pPr>
      <w:r>
        <w:rPr>
          <w:rFonts w:ascii="宋体" w:eastAsia="宋体" w:hAnsi="宋体" w:hint="eastAsia"/>
          <w:b/>
          <w:szCs w:val="21"/>
        </w:rPr>
        <w:t>（</w:t>
      </w:r>
      <w:r>
        <w:rPr>
          <w:rFonts w:ascii="宋体" w:eastAsia="宋体" w:hAnsi="宋体" w:hint="eastAsia"/>
          <w:b/>
          <w:szCs w:val="21"/>
        </w:rPr>
        <w:t>3</w:t>
      </w:r>
      <w:r>
        <w:rPr>
          <w:rFonts w:ascii="宋体" w:eastAsia="宋体" w:hAnsi="宋体" w:hint="eastAsia"/>
          <w:b/>
          <w:szCs w:val="21"/>
        </w:rPr>
        <w:t>）任务驱动法：</w:t>
      </w:r>
      <w:r>
        <w:rPr>
          <w:rFonts w:ascii="宋体" w:eastAsia="宋体" w:hAnsi="宋体" w:hint="eastAsia"/>
          <w:szCs w:val="21"/>
        </w:rPr>
        <w:t>从教材和网络资料，自主学习一种无脊椎动物或两栖类动物原始消化管的</w:t>
      </w:r>
      <w:r>
        <w:rPr>
          <w:rFonts w:ascii="宋体" w:eastAsia="宋体" w:hAnsi="宋体"/>
          <w:szCs w:val="21"/>
        </w:rPr>
        <w:t>发生过程及其机制</w:t>
      </w:r>
      <w:r>
        <w:rPr>
          <w:rFonts w:ascii="宋体" w:eastAsia="宋体" w:hAnsi="宋体" w:hint="eastAsia"/>
          <w:bCs/>
          <w:szCs w:val="21"/>
        </w:rPr>
        <w:t>。</w:t>
      </w:r>
    </w:p>
    <w:p w14:paraId="57EB54B4"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A1D59E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530FBF7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1E307D6A"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）描述</w:t>
      </w:r>
      <w:r>
        <w:rPr>
          <w:rFonts w:ascii="宋体" w:eastAsia="宋体" w:hAnsi="宋体" w:hint="eastAsia"/>
          <w:szCs w:val="21"/>
        </w:rPr>
        <w:t>一种无脊椎动物或两栖类动物原始消化管的</w:t>
      </w:r>
      <w:r>
        <w:rPr>
          <w:rFonts w:ascii="宋体" w:eastAsia="宋体" w:hAnsi="宋体"/>
          <w:szCs w:val="21"/>
        </w:rPr>
        <w:t>发生过程及其机制</w:t>
      </w:r>
      <w:r>
        <w:rPr>
          <w:rFonts w:ascii="宋体" w:eastAsia="宋体" w:hAnsi="宋体" w:hint="eastAsia"/>
          <w:bCs/>
          <w:szCs w:val="21"/>
        </w:rPr>
        <w:t>。</w:t>
      </w:r>
    </w:p>
    <w:p w14:paraId="45480ECB" w14:textId="77777777" w:rsidR="006103C8" w:rsidRDefault="006103C8">
      <w:pPr>
        <w:snapToGrid w:val="0"/>
        <w:spacing w:before="50" w:after="50"/>
        <w:rPr>
          <w:rFonts w:ascii="Times New Roman" w:eastAsia="黑体" w:hAnsi="Times New Roman"/>
          <w:szCs w:val="21"/>
        </w:rPr>
      </w:pPr>
    </w:p>
    <w:p w14:paraId="786C5FEE"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肢的发育</w:t>
      </w:r>
    </w:p>
    <w:p w14:paraId="70A913A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r>
        <w:rPr>
          <w:rFonts w:ascii="宋体" w:eastAsia="宋体" w:hAnsi="宋体" w:cs="宋体" w:hint="eastAsia"/>
          <w:b/>
          <w:color w:val="000000"/>
          <w:kern w:val="0"/>
          <w:szCs w:val="21"/>
        </w:rPr>
        <w:t xml:space="preserve"> </w:t>
      </w:r>
    </w:p>
    <w:p w14:paraId="2164314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）了解鸟类等脊椎动物附肢的发育</w:t>
      </w:r>
    </w:p>
    <w:p w14:paraId="1BC4615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w:t>
      </w:r>
      <w:r>
        <w:rPr>
          <w:rFonts w:ascii="宋体" w:eastAsia="宋体" w:hAnsi="宋体"/>
          <w:szCs w:val="21"/>
        </w:rPr>
        <w:t>有尾两栖类附肢的再生</w:t>
      </w:r>
    </w:p>
    <w:p w14:paraId="57D8196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1854795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BBFB30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附肢场与动物附肢的发育。</w:t>
      </w:r>
    </w:p>
    <w:p w14:paraId="0444FFA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 xml:space="preserve">.2 </w:t>
      </w:r>
      <w:r>
        <w:rPr>
          <w:rFonts w:ascii="宋体" w:eastAsia="宋体" w:hAnsi="宋体"/>
          <w:szCs w:val="21"/>
        </w:rPr>
        <w:t>教学难点</w:t>
      </w:r>
    </w:p>
    <w:p w14:paraId="660F410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不同动物</w:t>
      </w:r>
      <w:r>
        <w:rPr>
          <w:rFonts w:ascii="宋体" w:eastAsia="宋体" w:hAnsi="宋体" w:hint="eastAsia"/>
          <w:szCs w:val="21"/>
        </w:rPr>
        <w:t>附肢的发育与再生。</w:t>
      </w:r>
    </w:p>
    <w:p w14:paraId="723E108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520C7E8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脊椎动物附肢的发育</w:t>
      </w:r>
    </w:p>
    <w:p w14:paraId="445EF48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有尾两栖类附肢的再生</w:t>
      </w:r>
    </w:p>
    <w:p w14:paraId="09D6F58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r>
        <w:rPr>
          <w:rFonts w:ascii="宋体" w:eastAsia="宋体" w:hAnsi="宋体" w:cs="宋体" w:hint="eastAsia"/>
          <w:b/>
          <w:color w:val="000000"/>
          <w:kern w:val="0"/>
          <w:szCs w:val="21"/>
        </w:rPr>
        <w:t xml:space="preserve"> </w:t>
      </w:r>
    </w:p>
    <w:p w14:paraId="1696B8E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w:t>
      </w:r>
    </w:p>
    <w:p w14:paraId="2F41375D"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rPr>
        <w:t>断肢再生、多趾症、附肢</w:t>
      </w:r>
      <w:r>
        <w:rPr>
          <w:rFonts w:ascii="宋体" w:eastAsia="宋体" w:hAnsi="宋体" w:hint="eastAsia"/>
        </w:rPr>
        <w:t>何时该长？何时该停？</w:t>
      </w:r>
      <w:r>
        <w:rPr>
          <w:rFonts w:ascii="宋体" w:eastAsia="宋体" w:hAnsi="宋体"/>
          <w:szCs w:val="21"/>
        </w:rPr>
        <w:t>等问题，教师在讲解过程中</w:t>
      </w:r>
      <w:r>
        <w:rPr>
          <w:rFonts w:ascii="宋体" w:eastAsia="宋体" w:hAnsi="宋体" w:hint="eastAsia"/>
          <w:szCs w:val="21"/>
        </w:rPr>
        <w:t>提问和组织学生讨论。</w:t>
      </w:r>
    </w:p>
    <w:p w14:paraId="73F5A766"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lastRenderedPageBreak/>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经典的人类和其他动物附肢发育畸形案例，讨论附肢发育调控及其再生。</w:t>
      </w:r>
    </w:p>
    <w:p w14:paraId="3223F23C"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810BD2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2534E3A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szCs w:val="21"/>
        </w:rPr>
        <w:t>课后作业</w:t>
      </w:r>
      <w:r>
        <w:rPr>
          <w:rFonts w:ascii="宋体" w:eastAsia="宋体" w:hAnsi="宋体" w:hint="eastAsia"/>
          <w:szCs w:val="21"/>
        </w:rPr>
        <w:t>：</w:t>
      </w:r>
    </w:p>
    <w:p w14:paraId="790E1B69" w14:textId="77777777" w:rsidR="006103C8" w:rsidRDefault="003A02D5">
      <w:pPr>
        <w:widowControl/>
        <w:snapToGrid w:val="0"/>
        <w:spacing w:beforeLines="50" w:before="156" w:afterLines="50" w:after="156"/>
        <w:ind w:firstLineChars="200" w:firstLine="420"/>
        <w:jc w:val="left"/>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）描述</w:t>
      </w:r>
      <w:r>
        <w:rPr>
          <w:rFonts w:ascii="宋体" w:eastAsia="宋体" w:hAnsi="宋体" w:hint="eastAsia"/>
          <w:szCs w:val="21"/>
        </w:rPr>
        <w:t>一种动物（包括人类）附肢畸形的发生可能</w:t>
      </w:r>
      <w:r>
        <w:rPr>
          <w:rFonts w:ascii="宋体" w:eastAsia="宋体" w:hAnsi="宋体"/>
          <w:szCs w:val="21"/>
        </w:rPr>
        <w:t>机制</w:t>
      </w:r>
      <w:r>
        <w:rPr>
          <w:rFonts w:ascii="宋体" w:eastAsia="宋体" w:hAnsi="宋体" w:hint="eastAsia"/>
          <w:bCs/>
          <w:szCs w:val="21"/>
        </w:rPr>
        <w:t>。</w:t>
      </w:r>
    </w:p>
    <w:p w14:paraId="2D3E8F9F" w14:textId="77777777" w:rsidR="006103C8" w:rsidRDefault="006103C8">
      <w:pPr>
        <w:widowControl/>
        <w:snapToGrid w:val="0"/>
        <w:spacing w:beforeLines="50" w:before="156" w:afterLines="50" w:after="156"/>
        <w:ind w:firstLineChars="200" w:firstLine="420"/>
        <w:jc w:val="left"/>
      </w:pPr>
    </w:p>
    <w:p w14:paraId="54187FA2" w14:textId="77777777" w:rsidR="006103C8" w:rsidRDefault="003A02D5">
      <w:pPr>
        <w:widowControl/>
        <w:spacing w:beforeLines="50" w:before="156" w:afterLines="50" w:after="156"/>
        <w:ind w:firstLineChars="200" w:firstLine="562"/>
        <w:jc w:val="left"/>
      </w:pPr>
      <w:r>
        <w:rPr>
          <w:rFonts w:ascii="黑体" w:eastAsia="黑体" w:hAnsi="黑体" w:hint="eastAsia"/>
          <w:b/>
          <w:sz w:val="28"/>
          <w:szCs w:val="28"/>
        </w:rPr>
        <w:t>四、学时分配</w:t>
      </w:r>
    </w:p>
    <w:p w14:paraId="4AE53E85"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568"/>
        <w:gridCol w:w="1364"/>
      </w:tblGrid>
      <w:tr w:rsidR="006103C8" w14:paraId="2102BCBE" w14:textId="77777777">
        <w:trPr>
          <w:trHeight w:val="566"/>
        </w:trPr>
        <w:tc>
          <w:tcPr>
            <w:tcW w:w="822" w:type="pct"/>
            <w:shd w:val="clear" w:color="000000" w:fill="FFFFFF"/>
            <w:vAlign w:val="center"/>
          </w:tcPr>
          <w:p w14:paraId="579C57E5"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章节</w:t>
            </w:r>
          </w:p>
        </w:tc>
        <w:tc>
          <w:tcPr>
            <w:tcW w:w="3356" w:type="pct"/>
            <w:shd w:val="clear" w:color="000000" w:fill="FFFFFF"/>
            <w:vAlign w:val="center"/>
          </w:tcPr>
          <w:p w14:paraId="23E4D565"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章节内容</w:t>
            </w:r>
          </w:p>
        </w:tc>
        <w:tc>
          <w:tcPr>
            <w:tcW w:w="822" w:type="pct"/>
            <w:shd w:val="clear" w:color="000000" w:fill="FFFFFF"/>
            <w:vAlign w:val="center"/>
          </w:tcPr>
          <w:p w14:paraId="1CDB3812"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学时分配</w:t>
            </w:r>
          </w:p>
        </w:tc>
      </w:tr>
      <w:tr w:rsidR="006103C8" w14:paraId="647119D5" w14:textId="77777777">
        <w:trPr>
          <w:trHeight w:val="1481"/>
        </w:trPr>
        <w:tc>
          <w:tcPr>
            <w:tcW w:w="822" w:type="pct"/>
            <w:shd w:val="clear" w:color="000000" w:fill="FFFFFF"/>
            <w:noWrap/>
            <w:vAlign w:val="center"/>
          </w:tcPr>
          <w:p w14:paraId="010F9354"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p>
        </w:tc>
        <w:tc>
          <w:tcPr>
            <w:tcW w:w="3356" w:type="pct"/>
            <w:shd w:val="clear" w:color="000000" w:fill="FFFFFF"/>
            <w:vAlign w:val="center"/>
          </w:tcPr>
          <w:p w14:paraId="4D93A9DF"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绪论</w:t>
            </w:r>
          </w:p>
          <w:p w14:paraId="34E8BE3C"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发育生物学发展简史</w:t>
            </w:r>
            <w:r>
              <w:rPr>
                <w:rFonts w:ascii="Times New Roman" w:eastAsia="宋体" w:hAnsi="Times New Roman" w:cs="Times New Roman"/>
                <w:color w:val="000000"/>
                <w:szCs w:val="21"/>
              </w:rPr>
              <w:t xml:space="preserve"> </w:t>
            </w:r>
          </w:p>
          <w:p w14:paraId="5FD6CA27"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发育生物学研究的范围</w:t>
            </w:r>
          </w:p>
          <w:p w14:paraId="4E16298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发育生物学的主要研究技术</w:t>
            </w:r>
          </w:p>
          <w:p w14:paraId="43435D48"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第四节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发育生物学的应用前景</w:t>
            </w:r>
          </w:p>
        </w:tc>
        <w:tc>
          <w:tcPr>
            <w:tcW w:w="822" w:type="pct"/>
            <w:shd w:val="clear" w:color="000000" w:fill="FFFFFF"/>
            <w:vAlign w:val="center"/>
          </w:tcPr>
          <w:p w14:paraId="0A5E7311"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6</w:t>
            </w:r>
          </w:p>
        </w:tc>
      </w:tr>
      <w:tr w:rsidR="006103C8" w14:paraId="1A702E6C" w14:textId="77777777">
        <w:trPr>
          <w:trHeight w:val="1259"/>
        </w:trPr>
        <w:tc>
          <w:tcPr>
            <w:tcW w:w="822" w:type="pct"/>
            <w:shd w:val="clear" w:color="000000" w:fill="FFFFFF"/>
            <w:noWrap/>
            <w:vAlign w:val="center"/>
          </w:tcPr>
          <w:p w14:paraId="61F8E53B"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p>
        </w:tc>
        <w:tc>
          <w:tcPr>
            <w:tcW w:w="3356" w:type="pct"/>
            <w:shd w:val="clear" w:color="000000" w:fill="FFFFFF"/>
            <w:vAlign w:val="center"/>
          </w:tcPr>
          <w:p w14:paraId="247EF50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配子发生</w:t>
            </w:r>
          </w:p>
          <w:p w14:paraId="358A08C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动物性别的发育遗传</w:t>
            </w:r>
          </w:p>
          <w:p w14:paraId="0B7F4C81"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精子发生</w:t>
            </w:r>
            <w:r>
              <w:rPr>
                <w:rFonts w:ascii="Times New Roman" w:eastAsia="宋体" w:hAnsi="Times New Roman" w:cs="Times New Roman"/>
                <w:color w:val="000000"/>
                <w:szCs w:val="21"/>
              </w:rPr>
              <w:t xml:space="preserve"> </w:t>
            </w:r>
          </w:p>
          <w:p w14:paraId="2DA6A9A9"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卵子发生</w:t>
            </w:r>
          </w:p>
        </w:tc>
        <w:tc>
          <w:tcPr>
            <w:tcW w:w="822" w:type="pct"/>
            <w:shd w:val="clear" w:color="000000" w:fill="FFFFFF"/>
            <w:vAlign w:val="center"/>
          </w:tcPr>
          <w:p w14:paraId="6DC78618"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5</w:t>
            </w:r>
          </w:p>
        </w:tc>
      </w:tr>
      <w:tr w:rsidR="006103C8" w14:paraId="18FBBA3C" w14:textId="77777777">
        <w:trPr>
          <w:trHeight w:val="1847"/>
        </w:trPr>
        <w:tc>
          <w:tcPr>
            <w:tcW w:w="822" w:type="pct"/>
            <w:shd w:val="clear" w:color="000000" w:fill="FFFFFF"/>
            <w:noWrap/>
            <w:vAlign w:val="center"/>
          </w:tcPr>
          <w:p w14:paraId="5CB1A7B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p>
        </w:tc>
        <w:tc>
          <w:tcPr>
            <w:tcW w:w="3356" w:type="pct"/>
            <w:shd w:val="clear" w:color="000000" w:fill="FFFFFF"/>
            <w:vAlign w:val="center"/>
          </w:tcPr>
          <w:p w14:paraId="267B35ED"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w:t>
            </w:r>
          </w:p>
          <w:p w14:paraId="5FD08BE7"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精卵相遇和识别</w:t>
            </w:r>
            <w:r>
              <w:rPr>
                <w:rFonts w:ascii="Times New Roman" w:eastAsia="宋体" w:hAnsi="Times New Roman" w:cs="Times New Roman"/>
                <w:color w:val="000000"/>
                <w:szCs w:val="21"/>
              </w:rPr>
              <w:t xml:space="preserve"> </w:t>
            </w:r>
          </w:p>
          <w:p w14:paraId="5E940FB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精卵质膜融合</w:t>
            </w:r>
            <w:r>
              <w:rPr>
                <w:rFonts w:ascii="Times New Roman" w:eastAsia="宋体" w:hAnsi="Times New Roman" w:cs="Times New Roman"/>
                <w:color w:val="000000"/>
                <w:szCs w:val="21"/>
              </w:rPr>
              <w:t xml:space="preserve"> </w:t>
            </w:r>
          </w:p>
          <w:p w14:paraId="712B771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卵子代谢的激活</w:t>
            </w:r>
            <w:r>
              <w:rPr>
                <w:rFonts w:ascii="Times New Roman" w:eastAsia="宋体" w:hAnsi="Times New Roman" w:cs="Times New Roman"/>
                <w:color w:val="000000"/>
                <w:szCs w:val="21"/>
              </w:rPr>
              <w:t xml:space="preserve"> </w:t>
            </w:r>
          </w:p>
          <w:p w14:paraId="2B8442C9"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第四节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雌雄原核的结合</w:t>
            </w:r>
            <w:r>
              <w:rPr>
                <w:rFonts w:ascii="Times New Roman" w:eastAsia="宋体" w:hAnsi="Times New Roman" w:cs="Times New Roman"/>
                <w:color w:val="000000"/>
                <w:szCs w:val="21"/>
              </w:rPr>
              <w:t xml:space="preserve"> </w:t>
            </w:r>
          </w:p>
          <w:p w14:paraId="0C02F110"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第五节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受精卵细胞质的重新分布</w:t>
            </w:r>
            <w:r>
              <w:rPr>
                <w:rFonts w:ascii="Times New Roman" w:eastAsia="宋体" w:hAnsi="Times New Roman" w:cs="Times New Roman"/>
                <w:color w:val="000000"/>
                <w:szCs w:val="21"/>
              </w:rPr>
              <w:t xml:space="preserve"> </w:t>
            </w:r>
          </w:p>
        </w:tc>
        <w:tc>
          <w:tcPr>
            <w:tcW w:w="822" w:type="pct"/>
            <w:shd w:val="clear" w:color="000000" w:fill="FFFFFF"/>
            <w:vAlign w:val="center"/>
          </w:tcPr>
          <w:p w14:paraId="67E6B6B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2</w:t>
            </w:r>
          </w:p>
        </w:tc>
      </w:tr>
      <w:tr w:rsidR="006103C8" w14:paraId="429595A3" w14:textId="77777777">
        <w:trPr>
          <w:trHeight w:val="980"/>
        </w:trPr>
        <w:tc>
          <w:tcPr>
            <w:tcW w:w="822" w:type="pct"/>
            <w:shd w:val="clear" w:color="000000" w:fill="FFFFFF"/>
            <w:noWrap/>
            <w:vAlign w:val="center"/>
          </w:tcPr>
          <w:p w14:paraId="0C24550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p>
        </w:tc>
        <w:tc>
          <w:tcPr>
            <w:tcW w:w="3356" w:type="pct"/>
            <w:shd w:val="clear" w:color="000000" w:fill="FFFFFF"/>
            <w:vAlign w:val="center"/>
          </w:tcPr>
          <w:p w14:paraId="68DEE77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卵裂</w:t>
            </w:r>
          </w:p>
          <w:p w14:paraId="4A6214E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卵裂的模式</w:t>
            </w:r>
            <w:r>
              <w:rPr>
                <w:rFonts w:ascii="Times New Roman" w:eastAsia="宋体" w:hAnsi="Times New Roman" w:cs="Times New Roman"/>
                <w:szCs w:val="21"/>
              </w:rPr>
              <w:t xml:space="preserve"> </w:t>
            </w:r>
          </w:p>
          <w:p w14:paraId="2FC97C0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卵裂的调节</w:t>
            </w:r>
            <w:r>
              <w:rPr>
                <w:rFonts w:ascii="Times New Roman" w:eastAsia="宋体" w:hAnsi="Times New Roman" w:cs="Times New Roman"/>
                <w:szCs w:val="21"/>
              </w:rPr>
              <w:t xml:space="preserve"> </w:t>
            </w:r>
          </w:p>
        </w:tc>
        <w:tc>
          <w:tcPr>
            <w:tcW w:w="822" w:type="pct"/>
            <w:shd w:val="clear" w:color="000000" w:fill="FFFFFF"/>
            <w:vAlign w:val="center"/>
          </w:tcPr>
          <w:p w14:paraId="5FA7C74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r>
      <w:tr w:rsidR="006103C8" w14:paraId="47156470" w14:textId="77777777">
        <w:trPr>
          <w:trHeight w:val="1871"/>
        </w:trPr>
        <w:tc>
          <w:tcPr>
            <w:tcW w:w="822" w:type="pct"/>
            <w:shd w:val="clear" w:color="000000" w:fill="FFFFFF"/>
            <w:noWrap/>
            <w:vAlign w:val="center"/>
          </w:tcPr>
          <w:p w14:paraId="7F9A5EA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p>
        </w:tc>
        <w:tc>
          <w:tcPr>
            <w:tcW w:w="3356" w:type="pct"/>
            <w:shd w:val="clear" w:color="000000" w:fill="FFFFFF"/>
            <w:vAlign w:val="center"/>
          </w:tcPr>
          <w:p w14:paraId="602F62E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原肠胚形成</w:t>
            </w:r>
          </w:p>
          <w:p w14:paraId="14F2E19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proofErr w:type="gramStart"/>
            <w:r>
              <w:rPr>
                <w:rFonts w:ascii="Times New Roman" w:eastAsia="宋体" w:hAnsi="Times New Roman" w:cs="Times New Roman"/>
                <w:szCs w:val="21"/>
              </w:rPr>
              <w:t>秀丽隐杆线虫</w:t>
            </w:r>
            <w:proofErr w:type="gramEnd"/>
            <w:r>
              <w:rPr>
                <w:rFonts w:ascii="Times New Roman" w:eastAsia="宋体" w:hAnsi="Times New Roman" w:cs="Times New Roman"/>
                <w:szCs w:val="21"/>
              </w:rPr>
              <w:t>的原肠胚形成</w:t>
            </w:r>
            <w:r>
              <w:rPr>
                <w:rFonts w:ascii="Times New Roman" w:eastAsia="宋体" w:hAnsi="Times New Roman" w:cs="Times New Roman"/>
                <w:szCs w:val="21"/>
              </w:rPr>
              <w:t xml:space="preserve"> </w:t>
            </w:r>
          </w:p>
          <w:p w14:paraId="44C5EA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果蝇的原肠胚形成</w:t>
            </w:r>
            <w:r>
              <w:rPr>
                <w:rFonts w:ascii="Times New Roman" w:eastAsia="宋体" w:hAnsi="Times New Roman" w:cs="Times New Roman"/>
                <w:szCs w:val="21"/>
              </w:rPr>
              <w:t xml:space="preserve"> </w:t>
            </w:r>
          </w:p>
          <w:p w14:paraId="77BE24E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海胆的原肠胚形成</w:t>
            </w:r>
          </w:p>
          <w:p w14:paraId="549A36DD"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鱼类的原肠胚形成</w:t>
            </w:r>
          </w:p>
          <w:p w14:paraId="3B3795D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两栖类的原肠胚形成</w:t>
            </w:r>
          </w:p>
        </w:tc>
        <w:tc>
          <w:tcPr>
            <w:tcW w:w="822" w:type="pct"/>
            <w:shd w:val="clear" w:color="000000" w:fill="FFFFFF"/>
            <w:vAlign w:val="center"/>
          </w:tcPr>
          <w:p w14:paraId="5E7B9BD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4257975C" w14:textId="77777777">
        <w:trPr>
          <w:trHeight w:val="1125"/>
        </w:trPr>
        <w:tc>
          <w:tcPr>
            <w:tcW w:w="822" w:type="pct"/>
            <w:shd w:val="clear" w:color="000000" w:fill="FFFFFF"/>
            <w:noWrap/>
            <w:vAlign w:val="center"/>
          </w:tcPr>
          <w:p w14:paraId="1ABAE96B"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p>
        </w:tc>
        <w:tc>
          <w:tcPr>
            <w:tcW w:w="3356" w:type="pct"/>
            <w:shd w:val="clear" w:color="000000" w:fill="FFFFFF"/>
            <w:vAlign w:val="center"/>
          </w:tcPr>
          <w:p w14:paraId="0F99615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胎膜和胎盘</w:t>
            </w:r>
          </w:p>
          <w:p w14:paraId="0A38650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鸡胚的肧膜</w:t>
            </w:r>
            <w:r>
              <w:rPr>
                <w:rFonts w:ascii="Times New Roman" w:eastAsia="宋体" w:hAnsi="Times New Roman" w:cs="Times New Roman"/>
                <w:szCs w:val="21"/>
              </w:rPr>
              <w:t xml:space="preserve"> </w:t>
            </w:r>
          </w:p>
          <w:p w14:paraId="3087B0C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人胚的胎膜和胎盘</w:t>
            </w:r>
            <w:r>
              <w:rPr>
                <w:rFonts w:ascii="Times New Roman" w:eastAsia="宋体" w:hAnsi="Times New Roman" w:cs="Times New Roman"/>
                <w:szCs w:val="21"/>
              </w:rPr>
              <w:t xml:space="preserve">  </w:t>
            </w:r>
          </w:p>
        </w:tc>
        <w:tc>
          <w:tcPr>
            <w:tcW w:w="822" w:type="pct"/>
            <w:shd w:val="clear" w:color="000000" w:fill="FFFFFF"/>
            <w:vAlign w:val="center"/>
          </w:tcPr>
          <w:p w14:paraId="6094AA5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r>
      <w:tr w:rsidR="006103C8" w14:paraId="092B3F22" w14:textId="77777777">
        <w:trPr>
          <w:trHeight w:val="1538"/>
        </w:trPr>
        <w:tc>
          <w:tcPr>
            <w:tcW w:w="822" w:type="pct"/>
            <w:shd w:val="clear" w:color="000000" w:fill="FFFFFF"/>
            <w:noWrap/>
            <w:vAlign w:val="center"/>
          </w:tcPr>
          <w:p w14:paraId="355670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lastRenderedPageBreak/>
              <w:t>第七章</w:t>
            </w:r>
          </w:p>
        </w:tc>
        <w:tc>
          <w:tcPr>
            <w:tcW w:w="3356" w:type="pct"/>
            <w:shd w:val="clear" w:color="000000" w:fill="FFFFFF"/>
            <w:vAlign w:val="center"/>
          </w:tcPr>
          <w:p w14:paraId="5022D9F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形态发生的细胞学基础</w:t>
            </w:r>
          </w:p>
          <w:p w14:paraId="640FA0B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胚胎细胞运动的基础</w:t>
            </w:r>
            <w:r>
              <w:rPr>
                <w:rFonts w:ascii="Times New Roman" w:eastAsia="宋体" w:hAnsi="Times New Roman" w:cs="Times New Roman"/>
                <w:szCs w:val="21"/>
              </w:rPr>
              <w:t xml:space="preserve"> </w:t>
            </w:r>
          </w:p>
          <w:p w14:paraId="469515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胚胎细胞的运动</w:t>
            </w:r>
            <w:r>
              <w:rPr>
                <w:rFonts w:ascii="Times New Roman" w:eastAsia="宋体" w:hAnsi="Times New Roman" w:cs="Times New Roman"/>
                <w:szCs w:val="21"/>
              </w:rPr>
              <w:t xml:space="preserve"> </w:t>
            </w:r>
          </w:p>
          <w:p w14:paraId="6062B52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胚胎细胞的死亡与增殖</w:t>
            </w:r>
            <w:r>
              <w:rPr>
                <w:rFonts w:ascii="Times New Roman" w:eastAsia="宋体" w:hAnsi="Times New Roman" w:cs="Times New Roman"/>
                <w:szCs w:val="21"/>
              </w:rPr>
              <w:t xml:space="preserve"> </w:t>
            </w:r>
          </w:p>
          <w:p w14:paraId="45CBB35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干细胞</w:t>
            </w:r>
          </w:p>
        </w:tc>
        <w:tc>
          <w:tcPr>
            <w:tcW w:w="822" w:type="pct"/>
            <w:shd w:val="clear" w:color="000000" w:fill="FFFFFF"/>
            <w:vAlign w:val="center"/>
          </w:tcPr>
          <w:p w14:paraId="32ABF03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r>
      <w:tr w:rsidR="006103C8" w14:paraId="7D8C84A0" w14:textId="77777777">
        <w:trPr>
          <w:trHeight w:val="1315"/>
        </w:trPr>
        <w:tc>
          <w:tcPr>
            <w:tcW w:w="822" w:type="pct"/>
            <w:shd w:val="clear" w:color="000000" w:fill="FFFFFF"/>
            <w:noWrap/>
            <w:vAlign w:val="center"/>
          </w:tcPr>
          <w:p w14:paraId="5B21A3F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p>
        </w:tc>
        <w:tc>
          <w:tcPr>
            <w:tcW w:w="3356" w:type="pct"/>
            <w:shd w:val="clear" w:color="000000" w:fill="FFFFFF"/>
            <w:vAlign w:val="center"/>
          </w:tcPr>
          <w:p w14:paraId="349BFF7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基因组的恒定性与差异的基因表达</w:t>
            </w:r>
          </w:p>
          <w:p w14:paraId="5FA35B2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细胞核机能分析</w:t>
            </w:r>
            <w:r>
              <w:rPr>
                <w:rFonts w:ascii="Times New Roman" w:eastAsia="宋体" w:hAnsi="Times New Roman" w:cs="Times New Roman"/>
                <w:szCs w:val="21"/>
              </w:rPr>
              <w:t xml:space="preserve"> </w:t>
            </w:r>
          </w:p>
          <w:p w14:paraId="18EDD85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分化细胞基因组的改变</w:t>
            </w:r>
            <w:r>
              <w:rPr>
                <w:rFonts w:ascii="Times New Roman" w:eastAsia="宋体" w:hAnsi="Times New Roman" w:cs="Times New Roman"/>
                <w:szCs w:val="21"/>
              </w:rPr>
              <w:t xml:space="preserve"> </w:t>
            </w:r>
          </w:p>
          <w:p w14:paraId="7791594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差异基因的表达</w:t>
            </w:r>
          </w:p>
        </w:tc>
        <w:tc>
          <w:tcPr>
            <w:tcW w:w="822" w:type="pct"/>
            <w:shd w:val="clear" w:color="000000" w:fill="FFFFFF"/>
            <w:vAlign w:val="center"/>
          </w:tcPr>
          <w:p w14:paraId="1E1A99D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59A11D27" w14:textId="77777777">
        <w:trPr>
          <w:trHeight w:val="2088"/>
        </w:trPr>
        <w:tc>
          <w:tcPr>
            <w:tcW w:w="822" w:type="pct"/>
            <w:shd w:val="clear" w:color="000000" w:fill="FFFFFF"/>
            <w:noWrap/>
            <w:vAlign w:val="center"/>
          </w:tcPr>
          <w:p w14:paraId="12C8DED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p>
        </w:tc>
        <w:tc>
          <w:tcPr>
            <w:tcW w:w="3356" w:type="pct"/>
            <w:shd w:val="clear" w:color="000000" w:fill="FFFFFF"/>
            <w:vAlign w:val="center"/>
          </w:tcPr>
          <w:p w14:paraId="3F18D8F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胚胎细胞命运的决定</w:t>
            </w:r>
          </w:p>
          <w:p w14:paraId="3748117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形态发生决定子与自主特化</w:t>
            </w:r>
          </w:p>
          <w:p w14:paraId="62D2A94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位置信息与条件特化</w:t>
            </w:r>
            <w:r>
              <w:rPr>
                <w:rFonts w:ascii="Times New Roman" w:eastAsia="宋体" w:hAnsi="Times New Roman" w:cs="Times New Roman"/>
                <w:szCs w:val="21"/>
              </w:rPr>
              <w:t xml:space="preserve"> </w:t>
            </w:r>
          </w:p>
          <w:p w14:paraId="46B487E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合胞特化</w:t>
            </w:r>
            <w:r>
              <w:rPr>
                <w:rFonts w:ascii="Times New Roman" w:eastAsia="宋体" w:hAnsi="Times New Roman" w:cs="Times New Roman"/>
                <w:szCs w:val="21"/>
              </w:rPr>
              <w:t xml:space="preserve"> </w:t>
            </w:r>
          </w:p>
          <w:p w14:paraId="16CE2F2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诱导：胚胎细胞的相互作用</w:t>
            </w:r>
            <w:r>
              <w:rPr>
                <w:rFonts w:ascii="Times New Roman" w:eastAsia="宋体" w:hAnsi="Times New Roman" w:cs="Times New Roman"/>
                <w:szCs w:val="21"/>
              </w:rPr>
              <w:t xml:space="preserve"> </w:t>
            </w:r>
          </w:p>
          <w:p w14:paraId="7EF32E7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诱导信号</w:t>
            </w:r>
            <w:r>
              <w:rPr>
                <w:rFonts w:ascii="Times New Roman" w:eastAsia="宋体" w:hAnsi="Times New Roman" w:cs="Times New Roman"/>
                <w:szCs w:val="21"/>
              </w:rPr>
              <w:t xml:space="preserve"> </w:t>
            </w:r>
          </w:p>
          <w:p w14:paraId="524AD33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中胚层诱导</w:t>
            </w:r>
          </w:p>
        </w:tc>
        <w:tc>
          <w:tcPr>
            <w:tcW w:w="822" w:type="pct"/>
            <w:shd w:val="clear" w:color="000000" w:fill="FFFFFF"/>
            <w:vAlign w:val="center"/>
          </w:tcPr>
          <w:p w14:paraId="1B95B72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30376744" w14:textId="77777777">
        <w:trPr>
          <w:trHeight w:val="1395"/>
        </w:trPr>
        <w:tc>
          <w:tcPr>
            <w:tcW w:w="822" w:type="pct"/>
            <w:shd w:val="clear" w:color="000000" w:fill="FFFFFF"/>
            <w:noWrap/>
            <w:vAlign w:val="center"/>
          </w:tcPr>
          <w:p w14:paraId="14E838E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p>
        </w:tc>
        <w:tc>
          <w:tcPr>
            <w:tcW w:w="3356" w:type="pct"/>
            <w:shd w:val="clear" w:color="000000" w:fill="FFFFFF"/>
            <w:vAlign w:val="center"/>
          </w:tcPr>
          <w:p w14:paraId="2BDC110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p>
          <w:p w14:paraId="3485C68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r>
              <w:rPr>
                <w:rFonts w:ascii="Times New Roman" w:eastAsia="宋体" w:hAnsi="Times New Roman" w:cs="Times New Roman"/>
                <w:szCs w:val="21"/>
              </w:rPr>
              <w:t xml:space="preserve"> </w:t>
            </w:r>
          </w:p>
          <w:p w14:paraId="0B1D2CF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同源异型基因参与前后轴的形成</w:t>
            </w:r>
          </w:p>
          <w:p w14:paraId="7952BAF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果蝇胚胎背腹轴的形成</w:t>
            </w:r>
            <w:r>
              <w:rPr>
                <w:rFonts w:ascii="Times New Roman" w:eastAsia="宋体" w:hAnsi="Times New Roman" w:cs="Times New Roman"/>
                <w:szCs w:val="21"/>
              </w:rPr>
              <w:t xml:space="preserve">  </w:t>
            </w:r>
          </w:p>
        </w:tc>
        <w:tc>
          <w:tcPr>
            <w:tcW w:w="822" w:type="pct"/>
            <w:shd w:val="clear" w:color="000000" w:fill="FFFFFF"/>
            <w:vAlign w:val="center"/>
          </w:tcPr>
          <w:p w14:paraId="75DCBC7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5968A17C" w14:textId="77777777">
        <w:trPr>
          <w:trHeight w:val="1684"/>
        </w:trPr>
        <w:tc>
          <w:tcPr>
            <w:tcW w:w="822" w:type="pct"/>
            <w:shd w:val="clear" w:color="000000" w:fill="FFFFFF"/>
            <w:noWrap/>
            <w:vAlign w:val="center"/>
          </w:tcPr>
          <w:p w14:paraId="5881788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第十一章</w:t>
            </w:r>
          </w:p>
        </w:tc>
        <w:tc>
          <w:tcPr>
            <w:tcW w:w="3356" w:type="pct"/>
            <w:shd w:val="clear" w:color="000000" w:fill="FFFFFF"/>
            <w:vAlign w:val="center"/>
          </w:tcPr>
          <w:p w14:paraId="79FA21F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外胚层的分化和相关器官的发生</w:t>
            </w:r>
          </w:p>
          <w:p w14:paraId="0BF701A4"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神经管的分化和中枢神经系统的发生</w:t>
            </w:r>
          </w:p>
          <w:p w14:paraId="1E06A781"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神经嵴</w:t>
            </w:r>
          </w:p>
          <w:p w14:paraId="0054B8D0" w14:textId="77777777" w:rsidR="006103C8" w:rsidRDefault="003A02D5">
            <w:pPr>
              <w:widowControl/>
              <w:snapToGrid w:val="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眼睛的发生</w:t>
            </w:r>
          </w:p>
          <w:p w14:paraId="4D42B8D6" w14:textId="77777777" w:rsidR="006103C8" w:rsidRDefault="003A02D5">
            <w:pPr>
              <w:widowControl/>
              <w:snapToGrid w:val="0"/>
              <w:jc w:val="left"/>
              <w:rPr>
                <w:rFonts w:ascii="宋体" w:eastAsia="宋体" w:hAnsi="宋体"/>
                <w:szCs w:val="21"/>
              </w:rPr>
            </w:pPr>
            <w:r>
              <w:rPr>
                <w:rFonts w:ascii="宋体" w:eastAsia="宋体" w:hAnsi="宋体"/>
                <w:szCs w:val="21"/>
              </w:rPr>
              <w:t>第四节</w:t>
            </w:r>
            <w:r>
              <w:rPr>
                <w:rFonts w:ascii="宋体" w:eastAsia="宋体" w:hAnsi="宋体" w:hint="eastAsia"/>
                <w:szCs w:val="21"/>
              </w:rPr>
              <w:t xml:space="preserve"> </w:t>
            </w:r>
            <w:r>
              <w:rPr>
                <w:rFonts w:ascii="宋体" w:eastAsia="宋体" w:hAnsi="宋体" w:hint="eastAsia"/>
                <w:szCs w:val="21"/>
              </w:rPr>
              <w:t>外胚层基板和表皮外胚层</w:t>
            </w:r>
          </w:p>
        </w:tc>
        <w:tc>
          <w:tcPr>
            <w:tcW w:w="822" w:type="pct"/>
            <w:shd w:val="clear" w:color="000000" w:fill="FFFFFF"/>
            <w:vAlign w:val="center"/>
          </w:tcPr>
          <w:p w14:paraId="13B9C93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r>
      <w:tr w:rsidR="006103C8" w14:paraId="0BAA8135" w14:textId="77777777">
        <w:trPr>
          <w:trHeight w:val="1449"/>
        </w:trPr>
        <w:tc>
          <w:tcPr>
            <w:tcW w:w="822" w:type="pct"/>
            <w:shd w:val="clear" w:color="000000" w:fill="FFFFFF"/>
            <w:noWrap/>
            <w:vAlign w:val="center"/>
          </w:tcPr>
          <w:p w14:paraId="1E080AD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第十二章</w:t>
            </w:r>
          </w:p>
        </w:tc>
        <w:tc>
          <w:tcPr>
            <w:tcW w:w="3356" w:type="pct"/>
            <w:shd w:val="clear" w:color="000000" w:fill="FFFFFF"/>
            <w:vAlign w:val="center"/>
          </w:tcPr>
          <w:p w14:paraId="35945FB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中胚层的分化和相关器官的发生</w:t>
            </w:r>
          </w:p>
          <w:p w14:paraId="18292DF3"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体节中胚层的分化</w:t>
            </w:r>
          </w:p>
          <w:p w14:paraId="7ED492C6"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间介中胚层的分化和肾脏的形成</w:t>
            </w:r>
          </w:p>
          <w:p w14:paraId="3C0FAB6B" w14:textId="77777777" w:rsidR="006103C8" w:rsidRDefault="003A02D5">
            <w:pPr>
              <w:widowControl/>
              <w:snapToGrid w:val="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szCs w:val="21"/>
              </w:rPr>
              <w:t>侧板中胚层的分化</w:t>
            </w:r>
          </w:p>
        </w:tc>
        <w:tc>
          <w:tcPr>
            <w:tcW w:w="822" w:type="pct"/>
            <w:shd w:val="clear" w:color="000000" w:fill="FFFFFF"/>
            <w:vAlign w:val="center"/>
          </w:tcPr>
          <w:p w14:paraId="402FFA8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r>
      <w:tr w:rsidR="006103C8" w14:paraId="498C6275" w14:textId="77777777">
        <w:trPr>
          <w:trHeight w:val="973"/>
        </w:trPr>
        <w:tc>
          <w:tcPr>
            <w:tcW w:w="822" w:type="pct"/>
            <w:shd w:val="clear" w:color="000000" w:fill="FFFFFF"/>
            <w:noWrap/>
            <w:vAlign w:val="center"/>
          </w:tcPr>
          <w:p w14:paraId="272B8D4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第十三章</w:t>
            </w:r>
          </w:p>
        </w:tc>
        <w:tc>
          <w:tcPr>
            <w:tcW w:w="3356" w:type="pct"/>
            <w:shd w:val="clear" w:color="000000" w:fill="FFFFFF"/>
            <w:vAlign w:val="center"/>
          </w:tcPr>
          <w:p w14:paraId="4CD760B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第十三章</w:t>
            </w:r>
            <w:r>
              <w:rPr>
                <w:rFonts w:ascii="Times New Roman" w:eastAsia="宋体" w:hAnsi="Times New Roman" w:cs="Times New Roman"/>
                <w:szCs w:val="21"/>
              </w:rPr>
              <w:t xml:space="preserve"> </w:t>
            </w:r>
            <w:r>
              <w:rPr>
                <w:rFonts w:ascii="Times New Roman" w:eastAsia="宋体" w:hAnsi="Times New Roman" w:cs="Times New Roman"/>
                <w:szCs w:val="21"/>
              </w:rPr>
              <w:t>内胚层的分化和相关器官的发生</w:t>
            </w:r>
          </w:p>
          <w:p w14:paraId="7DA52ADB"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hint="eastAsia"/>
                <w:szCs w:val="21"/>
              </w:rPr>
              <w:t>原始消化管的分化</w:t>
            </w:r>
          </w:p>
          <w:p w14:paraId="446A1B7B"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w:t>
            </w:r>
            <w:r>
              <w:rPr>
                <w:rFonts w:ascii="宋体" w:eastAsia="宋体" w:hAnsi="宋体" w:hint="eastAsia"/>
                <w:szCs w:val="21"/>
              </w:rPr>
              <w:t>呼吸器官的发生</w:t>
            </w:r>
          </w:p>
        </w:tc>
        <w:tc>
          <w:tcPr>
            <w:tcW w:w="822" w:type="pct"/>
            <w:shd w:val="clear" w:color="000000" w:fill="FFFFFF"/>
            <w:vAlign w:val="center"/>
          </w:tcPr>
          <w:p w14:paraId="35AD045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r>
      <w:tr w:rsidR="006103C8" w14:paraId="51B39EA4" w14:textId="77777777">
        <w:trPr>
          <w:trHeight w:val="1569"/>
        </w:trPr>
        <w:tc>
          <w:tcPr>
            <w:tcW w:w="822" w:type="pct"/>
            <w:shd w:val="clear" w:color="000000" w:fill="FFFFFF"/>
            <w:noWrap/>
            <w:vAlign w:val="center"/>
          </w:tcPr>
          <w:p w14:paraId="29AA0F1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p>
        </w:tc>
        <w:tc>
          <w:tcPr>
            <w:tcW w:w="3356" w:type="pct"/>
            <w:shd w:val="clear" w:color="000000" w:fill="FFFFFF"/>
            <w:vAlign w:val="center"/>
          </w:tcPr>
          <w:p w14:paraId="7C112D4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r>
              <w:rPr>
                <w:rFonts w:ascii="Times New Roman" w:eastAsia="宋体" w:hAnsi="Times New Roman" w:cs="Times New Roman"/>
                <w:szCs w:val="21"/>
              </w:rPr>
              <w:t xml:space="preserve"> </w:t>
            </w:r>
            <w:r>
              <w:rPr>
                <w:rFonts w:ascii="Times New Roman" w:eastAsia="宋体" w:hAnsi="Times New Roman" w:cs="Times New Roman"/>
                <w:szCs w:val="21"/>
              </w:rPr>
              <w:t>肢的发育</w:t>
            </w:r>
          </w:p>
          <w:p w14:paraId="3A040EA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肢的结构特点和</w:t>
            </w:r>
            <w:proofErr w:type="gramStart"/>
            <w:r>
              <w:rPr>
                <w:rFonts w:ascii="Times New Roman" w:eastAsia="宋体" w:hAnsi="Times New Roman" w:cs="Times New Roman"/>
                <w:szCs w:val="21"/>
              </w:rPr>
              <w:t>肢的</w:t>
            </w:r>
            <w:proofErr w:type="gramEnd"/>
            <w:r>
              <w:rPr>
                <w:rFonts w:ascii="Times New Roman" w:eastAsia="宋体" w:hAnsi="Times New Roman" w:cs="Times New Roman"/>
                <w:szCs w:val="21"/>
              </w:rPr>
              <w:t>发生</w:t>
            </w:r>
            <w:r>
              <w:rPr>
                <w:rFonts w:ascii="Times New Roman" w:eastAsia="宋体" w:hAnsi="Times New Roman" w:cs="Times New Roman"/>
                <w:szCs w:val="21"/>
              </w:rPr>
              <w:t xml:space="preserve"> </w:t>
            </w:r>
          </w:p>
          <w:p w14:paraId="48B23C1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肢芽的形成与分化</w:t>
            </w:r>
            <w:r>
              <w:rPr>
                <w:rFonts w:ascii="Times New Roman" w:eastAsia="宋体" w:hAnsi="Times New Roman" w:cs="Times New Roman"/>
                <w:szCs w:val="21"/>
              </w:rPr>
              <w:t xml:space="preserve"> </w:t>
            </w:r>
          </w:p>
          <w:p w14:paraId="78B7ECA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近远轴的形成</w:t>
            </w:r>
            <w:r>
              <w:rPr>
                <w:rFonts w:ascii="Times New Roman" w:eastAsia="宋体" w:hAnsi="Times New Roman" w:cs="Times New Roman"/>
                <w:szCs w:val="21"/>
              </w:rPr>
              <w:t xml:space="preserve"> </w:t>
            </w:r>
          </w:p>
          <w:p w14:paraId="42FEF2F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背腹轴的形成</w:t>
            </w:r>
          </w:p>
        </w:tc>
        <w:tc>
          <w:tcPr>
            <w:tcW w:w="822" w:type="pct"/>
            <w:shd w:val="clear" w:color="000000" w:fill="FFFFFF"/>
            <w:vAlign w:val="center"/>
          </w:tcPr>
          <w:p w14:paraId="49BC23BB"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bl>
    <w:p w14:paraId="72D9CE05" w14:textId="77777777" w:rsidR="006103C8" w:rsidRDefault="006103C8">
      <w:pPr>
        <w:widowControl/>
        <w:spacing w:beforeLines="50" w:before="156" w:afterLines="50" w:after="156"/>
        <w:ind w:firstLineChars="200" w:firstLine="562"/>
        <w:jc w:val="left"/>
        <w:rPr>
          <w:rFonts w:ascii="黑体" w:eastAsia="黑体" w:hAnsi="黑体"/>
          <w:b/>
          <w:sz w:val="28"/>
          <w:szCs w:val="28"/>
        </w:rPr>
      </w:pPr>
    </w:p>
    <w:p w14:paraId="28C18ADB" w14:textId="77777777" w:rsidR="006103C8" w:rsidRDefault="003A02D5">
      <w:pPr>
        <w:widowControl/>
        <w:spacing w:beforeLines="50" w:before="156" w:afterLines="50" w:after="156"/>
        <w:ind w:firstLineChars="200" w:firstLine="562"/>
        <w:jc w:val="left"/>
      </w:pPr>
      <w:r>
        <w:rPr>
          <w:rFonts w:ascii="黑体" w:eastAsia="黑体" w:hAnsi="黑体" w:hint="eastAsia"/>
          <w:b/>
          <w:sz w:val="28"/>
          <w:szCs w:val="28"/>
        </w:rPr>
        <w:t>五、教学进度</w:t>
      </w:r>
    </w:p>
    <w:p w14:paraId="23F8C2E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562"/>
        <w:gridCol w:w="567"/>
        <w:gridCol w:w="1134"/>
        <w:gridCol w:w="1495"/>
        <w:gridCol w:w="566"/>
        <w:gridCol w:w="3479"/>
        <w:gridCol w:w="493"/>
      </w:tblGrid>
      <w:tr w:rsidR="006103C8" w14:paraId="723D5CEC" w14:textId="77777777">
        <w:trPr>
          <w:trHeight w:val="340"/>
          <w:jc w:val="center"/>
        </w:trPr>
        <w:tc>
          <w:tcPr>
            <w:tcW w:w="562" w:type="dxa"/>
            <w:vAlign w:val="center"/>
          </w:tcPr>
          <w:p w14:paraId="195A25D6"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326A3745"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34" w:type="dxa"/>
            <w:vAlign w:val="center"/>
          </w:tcPr>
          <w:p w14:paraId="2FD71235"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p w14:paraId="68E2414F"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名称</w:t>
            </w:r>
          </w:p>
        </w:tc>
        <w:tc>
          <w:tcPr>
            <w:tcW w:w="1495" w:type="dxa"/>
            <w:vAlign w:val="center"/>
          </w:tcPr>
          <w:p w14:paraId="4AF06D88"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0" w:type="auto"/>
            <w:vAlign w:val="center"/>
          </w:tcPr>
          <w:p w14:paraId="04A6E196"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0" w:type="auto"/>
            <w:vAlign w:val="center"/>
          </w:tcPr>
          <w:p w14:paraId="1128EF8B"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0" w:type="auto"/>
            <w:vAlign w:val="center"/>
          </w:tcPr>
          <w:p w14:paraId="6A7A55E0"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103C8" w14:paraId="3A2B80C4" w14:textId="77777777">
        <w:trPr>
          <w:trHeight w:val="340"/>
          <w:jc w:val="center"/>
        </w:trPr>
        <w:tc>
          <w:tcPr>
            <w:tcW w:w="562" w:type="dxa"/>
            <w:vAlign w:val="center"/>
          </w:tcPr>
          <w:p w14:paraId="3722AED0"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48993CC0"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9BC6DC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绪论</w:t>
            </w:r>
          </w:p>
        </w:tc>
        <w:tc>
          <w:tcPr>
            <w:tcW w:w="1495" w:type="dxa"/>
            <w:vAlign w:val="center"/>
          </w:tcPr>
          <w:p w14:paraId="0CCBADC8"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发育生物学的内涵、特点及学习方法。</w:t>
            </w:r>
          </w:p>
        </w:tc>
        <w:tc>
          <w:tcPr>
            <w:tcW w:w="0" w:type="auto"/>
            <w:vAlign w:val="center"/>
          </w:tcPr>
          <w:p w14:paraId="7CD6804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6</w:t>
            </w:r>
          </w:p>
        </w:tc>
        <w:tc>
          <w:tcPr>
            <w:tcW w:w="0" w:type="auto"/>
            <w:vAlign w:val="center"/>
          </w:tcPr>
          <w:p w14:paraId="4C03636E" w14:textId="77777777" w:rsidR="006103C8" w:rsidRDefault="003A02D5">
            <w:pPr>
              <w:widowControl/>
              <w:snapToGrid w:val="0"/>
              <w:jc w:val="left"/>
              <w:rPr>
                <w:rFonts w:ascii="宋体" w:eastAsia="宋体" w:hAnsi="宋体"/>
                <w:szCs w:val="21"/>
              </w:rPr>
            </w:pPr>
            <w:r>
              <w:rPr>
                <w:rFonts w:ascii="宋体" w:eastAsia="宋体" w:hAnsi="宋体" w:hint="eastAsia"/>
                <w:szCs w:val="21"/>
              </w:rPr>
              <w:t>思考并书面回答下列问题：</w:t>
            </w:r>
          </w:p>
          <w:p w14:paraId="390A4BC0" w14:textId="77777777" w:rsidR="006103C8" w:rsidRDefault="003A02D5">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）你如何理解生命科学研究者的素质和成才关键因素？</w:t>
            </w:r>
          </w:p>
          <w:p w14:paraId="5B08E7F4" w14:textId="77777777" w:rsidR="006103C8" w:rsidRDefault="003A02D5">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）如何理解模式生物选择与个人成材的关系？</w:t>
            </w:r>
          </w:p>
        </w:tc>
        <w:tc>
          <w:tcPr>
            <w:tcW w:w="0" w:type="auto"/>
            <w:vAlign w:val="center"/>
          </w:tcPr>
          <w:p w14:paraId="7FB7685C" w14:textId="77777777" w:rsidR="006103C8" w:rsidRDefault="006103C8">
            <w:pPr>
              <w:widowControl/>
              <w:spacing w:beforeLines="50" w:before="156" w:afterLines="50" w:after="156"/>
              <w:jc w:val="center"/>
              <w:rPr>
                <w:rFonts w:ascii="宋体" w:eastAsia="宋体" w:hAnsi="宋体"/>
                <w:szCs w:val="21"/>
              </w:rPr>
            </w:pPr>
          </w:p>
        </w:tc>
      </w:tr>
      <w:tr w:rsidR="006103C8" w14:paraId="36F4D661" w14:textId="77777777">
        <w:trPr>
          <w:trHeight w:val="340"/>
          <w:jc w:val="center"/>
        </w:trPr>
        <w:tc>
          <w:tcPr>
            <w:tcW w:w="562" w:type="dxa"/>
            <w:vAlign w:val="center"/>
          </w:tcPr>
          <w:p w14:paraId="31F7B60C"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szCs w:val="21"/>
              </w:rPr>
              <w:t>3-4</w:t>
            </w:r>
          </w:p>
        </w:tc>
        <w:tc>
          <w:tcPr>
            <w:tcW w:w="567" w:type="dxa"/>
            <w:vAlign w:val="center"/>
          </w:tcPr>
          <w:p w14:paraId="070FB1D8"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002669E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配子发生</w:t>
            </w:r>
          </w:p>
        </w:tc>
        <w:tc>
          <w:tcPr>
            <w:tcW w:w="1495" w:type="dxa"/>
            <w:vAlign w:val="center"/>
          </w:tcPr>
          <w:p w14:paraId="5CB8E8B4" w14:textId="77777777" w:rsidR="006103C8" w:rsidRDefault="003A02D5">
            <w:pPr>
              <w:widowControl/>
              <w:spacing w:beforeLines="50" w:before="156" w:afterLines="50" w:after="156"/>
              <w:rPr>
                <w:rFonts w:ascii="宋体" w:eastAsia="宋体" w:hAnsi="宋体" w:cs="宋体"/>
                <w:color w:val="000000"/>
                <w:kern w:val="0"/>
                <w:szCs w:val="21"/>
              </w:rPr>
            </w:pPr>
            <w:r>
              <w:rPr>
                <w:rFonts w:ascii="宋体" w:eastAsia="宋体" w:hAnsi="宋体" w:hint="eastAsia"/>
                <w:szCs w:val="21"/>
              </w:rPr>
              <w:t>动物性别发育遗传控制机制、精子与卵子发生的过程和调控机制。</w:t>
            </w:r>
          </w:p>
        </w:tc>
        <w:tc>
          <w:tcPr>
            <w:tcW w:w="0" w:type="auto"/>
            <w:vAlign w:val="center"/>
          </w:tcPr>
          <w:p w14:paraId="3CC426EC"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5</w:t>
            </w:r>
          </w:p>
        </w:tc>
        <w:tc>
          <w:tcPr>
            <w:tcW w:w="0" w:type="auto"/>
            <w:vAlign w:val="center"/>
          </w:tcPr>
          <w:p w14:paraId="4C15F251" w14:textId="77777777" w:rsidR="006103C8" w:rsidRDefault="003A02D5">
            <w:pPr>
              <w:widowControl/>
              <w:snapToGrid w:val="0"/>
              <w:jc w:val="left"/>
              <w:rPr>
                <w:rFonts w:ascii="宋体" w:eastAsia="宋体" w:hAnsi="宋体"/>
                <w:szCs w:val="21"/>
              </w:rPr>
            </w:pPr>
            <w:r>
              <w:rPr>
                <w:rFonts w:ascii="宋体" w:eastAsia="宋体" w:hAnsi="宋体" w:hint="eastAsia"/>
                <w:szCs w:val="21"/>
              </w:rPr>
              <w:t>思考并书面回答下列问题：</w:t>
            </w:r>
          </w:p>
          <w:p w14:paraId="00FDEB51" w14:textId="77777777" w:rsidR="006103C8" w:rsidRDefault="003A02D5">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）你对动物性取向的类型如何理解？介绍和评论一种高等动物的</w:t>
            </w:r>
            <w:r>
              <w:rPr>
                <w:rFonts w:ascii="宋体" w:eastAsia="宋体" w:hAnsi="宋体"/>
                <w:szCs w:val="21"/>
              </w:rPr>
              <w:t>性取向类型。</w:t>
            </w:r>
          </w:p>
          <w:p w14:paraId="28392665" w14:textId="77777777" w:rsidR="006103C8" w:rsidRDefault="003A02D5">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）你如何理解动物性别控制的意义和影响？列举性别控制的技术方法。</w:t>
            </w:r>
          </w:p>
        </w:tc>
        <w:tc>
          <w:tcPr>
            <w:tcW w:w="0" w:type="auto"/>
            <w:vAlign w:val="center"/>
          </w:tcPr>
          <w:p w14:paraId="3382AB5D" w14:textId="77777777" w:rsidR="006103C8" w:rsidRDefault="006103C8">
            <w:pPr>
              <w:widowControl/>
              <w:spacing w:beforeLines="50" w:before="156" w:afterLines="50" w:after="156"/>
              <w:jc w:val="center"/>
              <w:rPr>
                <w:rFonts w:ascii="宋体" w:eastAsia="宋体" w:hAnsi="宋体"/>
                <w:szCs w:val="21"/>
              </w:rPr>
            </w:pPr>
          </w:p>
        </w:tc>
      </w:tr>
      <w:tr w:rsidR="006103C8" w14:paraId="7325DD5A" w14:textId="77777777">
        <w:trPr>
          <w:trHeight w:val="340"/>
          <w:jc w:val="center"/>
        </w:trPr>
        <w:tc>
          <w:tcPr>
            <w:tcW w:w="562" w:type="dxa"/>
            <w:vAlign w:val="center"/>
          </w:tcPr>
          <w:p w14:paraId="69D1234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567" w:type="dxa"/>
            <w:vAlign w:val="center"/>
          </w:tcPr>
          <w:p w14:paraId="17439A2A"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177DED4A"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w:t>
            </w:r>
            <w:r>
              <w:rPr>
                <w:rFonts w:ascii="Times New Roman" w:eastAsia="宋体" w:hAnsi="Times New Roman" w:cs="Times New Roman"/>
                <w:color w:val="000000"/>
                <w:szCs w:val="21"/>
              </w:rPr>
              <w:t xml:space="preserve"> </w:t>
            </w:r>
          </w:p>
        </w:tc>
        <w:tc>
          <w:tcPr>
            <w:tcW w:w="1495" w:type="dxa"/>
            <w:vAlign w:val="center"/>
          </w:tcPr>
          <w:p w14:paraId="5504F3EB"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动物受精的过程和调控机制。</w:t>
            </w:r>
          </w:p>
        </w:tc>
        <w:tc>
          <w:tcPr>
            <w:tcW w:w="0" w:type="auto"/>
            <w:vAlign w:val="center"/>
          </w:tcPr>
          <w:p w14:paraId="3A0E558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2</w:t>
            </w:r>
          </w:p>
        </w:tc>
        <w:tc>
          <w:tcPr>
            <w:tcW w:w="0" w:type="auto"/>
            <w:vAlign w:val="center"/>
          </w:tcPr>
          <w:p w14:paraId="52F365F2" w14:textId="77777777" w:rsidR="006103C8" w:rsidRDefault="003A02D5">
            <w:pPr>
              <w:widowControl/>
              <w:snapToGrid w:val="0"/>
              <w:jc w:val="left"/>
              <w:rPr>
                <w:rFonts w:ascii="宋体" w:eastAsia="宋体" w:hAnsi="宋体"/>
                <w:szCs w:val="21"/>
              </w:rPr>
            </w:pPr>
            <w:r>
              <w:rPr>
                <w:rFonts w:ascii="宋体" w:eastAsia="宋体" w:hAnsi="宋体" w:hint="eastAsia"/>
                <w:szCs w:val="21"/>
              </w:rPr>
              <w:t>提供一种特殊的动物受精模式视频或者图文介绍。</w:t>
            </w:r>
          </w:p>
        </w:tc>
        <w:tc>
          <w:tcPr>
            <w:tcW w:w="0" w:type="auto"/>
            <w:vAlign w:val="center"/>
          </w:tcPr>
          <w:p w14:paraId="5E9AC935" w14:textId="77777777" w:rsidR="006103C8" w:rsidRDefault="006103C8">
            <w:pPr>
              <w:widowControl/>
              <w:spacing w:beforeLines="50" w:before="156" w:afterLines="50" w:after="156"/>
              <w:jc w:val="center"/>
              <w:rPr>
                <w:rFonts w:ascii="宋体" w:eastAsia="宋体" w:hAnsi="宋体"/>
                <w:szCs w:val="21"/>
              </w:rPr>
            </w:pPr>
          </w:p>
        </w:tc>
      </w:tr>
      <w:tr w:rsidR="006103C8" w14:paraId="540E85E3" w14:textId="77777777">
        <w:trPr>
          <w:trHeight w:val="340"/>
          <w:jc w:val="center"/>
        </w:trPr>
        <w:tc>
          <w:tcPr>
            <w:tcW w:w="562" w:type="dxa"/>
            <w:vAlign w:val="center"/>
          </w:tcPr>
          <w:p w14:paraId="0EA9C381"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567" w:type="dxa"/>
            <w:vAlign w:val="center"/>
          </w:tcPr>
          <w:p w14:paraId="21BDDE71"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0C0B5FD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卵裂</w:t>
            </w:r>
            <w:r>
              <w:rPr>
                <w:rFonts w:ascii="Times New Roman" w:eastAsia="宋体" w:hAnsi="Times New Roman" w:cs="Times New Roman"/>
                <w:szCs w:val="21"/>
              </w:rPr>
              <w:t xml:space="preserve"> </w:t>
            </w:r>
          </w:p>
        </w:tc>
        <w:tc>
          <w:tcPr>
            <w:tcW w:w="1495" w:type="dxa"/>
            <w:vAlign w:val="center"/>
          </w:tcPr>
          <w:p w14:paraId="2B682C7F"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受精卵的六种卵裂方式和调控机制。</w:t>
            </w:r>
          </w:p>
        </w:tc>
        <w:tc>
          <w:tcPr>
            <w:tcW w:w="0" w:type="auto"/>
            <w:vAlign w:val="center"/>
          </w:tcPr>
          <w:p w14:paraId="567FCDDD"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c>
          <w:tcPr>
            <w:tcW w:w="0" w:type="auto"/>
            <w:vAlign w:val="center"/>
          </w:tcPr>
          <w:p w14:paraId="00098D4D" w14:textId="77777777" w:rsidR="006103C8" w:rsidRDefault="006103C8">
            <w:pPr>
              <w:widowControl/>
              <w:snapToGrid w:val="0"/>
              <w:jc w:val="center"/>
              <w:rPr>
                <w:rFonts w:ascii="宋体" w:eastAsia="宋体" w:hAnsi="宋体"/>
                <w:szCs w:val="21"/>
              </w:rPr>
            </w:pPr>
          </w:p>
        </w:tc>
        <w:tc>
          <w:tcPr>
            <w:tcW w:w="0" w:type="auto"/>
            <w:vAlign w:val="center"/>
          </w:tcPr>
          <w:p w14:paraId="097E79AD" w14:textId="77777777" w:rsidR="006103C8" w:rsidRDefault="006103C8">
            <w:pPr>
              <w:widowControl/>
              <w:spacing w:beforeLines="50" w:before="156" w:afterLines="50" w:after="156"/>
              <w:jc w:val="center"/>
              <w:rPr>
                <w:rFonts w:ascii="宋体" w:eastAsia="宋体" w:hAnsi="宋体"/>
                <w:szCs w:val="21"/>
              </w:rPr>
            </w:pPr>
          </w:p>
        </w:tc>
      </w:tr>
      <w:tr w:rsidR="006103C8" w14:paraId="2672768B" w14:textId="77777777">
        <w:trPr>
          <w:trHeight w:val="340"/>
          <w:jc w:val="center"/>
        </w:trPr>
        <w:tc>
          <w:tcPr>
            <w:tcW w:w="562" w:type="dxa"/>
            <w:vAlign w:val="center"/>
          </w:tcPr>
          <w:p w14:paraId="4C334B1F"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66D5BCFA"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0BF9F0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原肠胚形成</w:t>
            </w:r>
          </w:p>
        </w:tc>
        <w:tc>
          <w:tcPr>
            <w:tcW w:w="1495" w:type="dxa"/>
            <w:vAlign w:val="center"/>
          </w:tcPr>
          <w:p w14:paraId="4245CCEE"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原肠作用的七种细胞运动方式与胚胎细胞重组。</w:t>
            </w:r>
          </w:p>
        </w:tc>
        <w:tc>
          <w:tcPr>
            <w:tcW w:w="0" w:type="auto"/>
            <w:vAlign w:val="center"/>
          </w:tcPr>
          <w:p w14:paraId="0AD38F1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71245963"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列举一种动物的</w:t>
            </w:r>
            <w:r>
              <w:rPr>
                <w:rFonts w:ascii="宋体" w:eastAsia="宋体" w:hAnsi="宋体" w:hint="eastAsia"/>
              </w:rPr>
              <w:t>原肠形成，描述其</w:t>
            </w:r>
            <w:r>
              <w:rPr>
                <w:rFonts w:ascii="宋体" w:eastAsia="宋体" w:hAnsi="宋体" w:hint="eastAsia"/>
                <w:szCs w:val="21"/>
              </w:rPr>
              <w:t>细胞运动方式与胚胎细胞重组特点</w:t>
            </w:r>
            <w:r>
              <w:rPr>
                <w:rFonts w:ascii="宋体" w:eastAsia="宋体" w:hAnsi="宋体" w:cs="TimesNewRomanPSMT" w:hint="eastAsia"/>
                <w:color w:val="000000"/>
                <w:kern w:val="0"/>
                <w:szCs w:val="21"/>
              </w:rPr>
              <w:t>。</w:t>
            </w:r>
          </w:p>
        </w:tc>
        <w:tc>
          <w:tcPr>
            <w:tcW w:w="0" w:type="auto"/>
            <w:vAlign w:val="center"/>
          </w:tcPr>
          <w:p w14:paraId="1A861F7B" w14:textId="77777777" w:rsidR="006103C8" w:rsidRDefault="006103C8">
            <w:pPr>
              <w:widowControl/>
              <w:spacing w:beforeLines="50" w:before="156" w:afterLines="50" w:after="156"/>
              <w:jc w:val="center"/>
              <w:rPr>
                <w:rFonts w:ascii="宋体" w:eastAsia="宋体" w:hAnsi="宋体"/>
                <w:szCs w:val="21"/>
              </w:rPr>
            </w:pPr>
          </w:p>
        </w:tc>
      </w:tr>
      <w:tr w:rsidR="006103C8" w14:paraId="37BE6011" w14:textId="77777777">
        <w:trPr>
          <w:trHeight w:val="340"/>
          <w:jc w:val="center"/>
        </w:trPr>
        <w:tc>
          <w:tcPr>
            <w:tcW w:w="562" w:type="dxa"/>
            <w:vAlign w:val="center"/>
          </w:tcPr>
          <w:p w14:paraId="103A8991"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30BC35B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F64EC7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胎膜和胎盘</w:t>
            </w:r>
            <w:r>
              <w:rPr>
                <w:rFonts w:ascii="Times New Roman" w:eastAsia="宋体" w:hAnsi="Times New Roman" w:cs="Times New Roman"/>
                <w:szCs w:val="21"/>
              </w:rPr>
              <w:t xml:space="preserve"> </w:t>
            </w:r>
          </w:p>
        </w:tc>
        <w:tc>
          <w:tcPr>
            <w:tcW w:w="1495" w:type="dxa"/>
            <w:vAlign w:val="center"/>
          </w:tcPr>
          <w:p w14:paraId="1DCF91C8"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肧膜、胎膜及胎盘的结构与功能。</w:t>
            </w:r>
          </w:p>
        </w:tc>
        <w:tc>
          <w:tcPr>
            <w:tcW w:w="0" w:type="auto"/>
            <w:vAlign w:val="center"/>
          </w:tcPr>
          <w:p w14:paraId="3F185A4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c>
          <w:tcPr>
            <w:tcW w:w="0" w:type="auto"/>
            <w:vAlign w:val="center"/>
          </w:tcPr>
          <w:p w14:paraId="244B5D16" w14:textId="77777777" w:rsidR="006103C8" w:rsidRDefault="003A02D5">
            <w:pPr>
              <w:widowControl/>
              <w:snapToGri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）总结鸟类（鸡）的胎膜结构与发育形成过程</w:t>
            </w:r>
            <w:r>
              <w:rPr>
                <w:rFonts w:ascii="宋体" w:eastAsia="宋体" w:hAnsi="宋体" w:cs="TimesNewRomanPSMT"/>
                <w:color w:val="000000"/>
                <w:kern w:val="0"/>
                <w:szCs w:val="21"/>
              </w:rPr>
              <w:t>。</w:t>
            </w:r>
          </w:p>
          <w:p w14:paraId="7A3ED6ED" w14:textId="77777777" w:rsidR="006103C8" w:rsidRDefault="003A02D5">
            <w:pPr>
              <w:widowControl/>
              <w:snapToGri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）描述哺乳类（人类）的胎膜与胎盘的结构与发育形成过程。</w:t>
            </w:r>
          </w:p>
        </w:tc>
        <w:tc>
          <w:tcPr>
            <w:tcW w:w="0" w:type="auto"/>
            <w:vAlign w:val="center"/>
          </w:tcPr>
          <w:p w14:paraId="57C83C4E" w14:textId="77777777" w:rsidR="006103C8" w:rsidRDefault="006103C8">
            <w:pPr>
              <w:widowControl/>
              <w:spacing w:beforeLines="50" w:before="156" w:afterLines="50" w:after="156"/>
              <w:jc w:val="center"/>
              <w:rPr>
                <w:rFonts w:ascii="宋体" w:eastAsia="宋体" w:hAnsi="宋体"/>
                <w:szCs w:val="21"/>
              </w:rPr>
            </w:pPr>
          </w:p>
        </w:tc>
      </w:tr>
      <w:tr w:rsidR="006103C8" w14:paraId="114CBC3F" w14:textId="77777777">
        <w:trPr>
          <w:trHeight w:val="340"/>
          <w:jc w:val="center"/>
        </w:trPr>
        <w:tc>
          <w:tcPr>
            <w:tcW w:w="562" w:type="dxa"/>
            <w:vAlign w:val="center"/>
          </w:tcPr>
          <w:p w14:paraId="1D783CF3"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28C708C6"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6A86D3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形态发生的细胞学基础</w:t>
            </w:r>
          </w:p>
        </w:tc>
        <w:tc>
          <w:tcPr>
            <w:tcW w:w="1495" w:type="dxa"/>
            <w:vAlign w:val="center"/>
          </w:tcPr>
          <w:p w14:paraId="3673D125" w14:textId="77777777" w:rsidR="006103C8" w:rsidRDefault="003A02D5">
            <w:pPr>
              <w:widowControl/>
              <w:spacing w:beforeLines="50" w:before="156" w:afterLines="50" w:after="156"/>
              <w:rPr>
                <w:rFonts w:ascii="宋体" w:eastAsia="宋体" w:hAnsi="宋体"/>
                <w:szCs w:val="21"/>
              </w:rPr>
            </w:pPr>
            <w:r>
              <w:rPr>
                <w:rFonts w:ascii="宋体" w:eastAsia="宋体" w:hAnsi="宋体"/>
                <w:szCs w:val="21"/>
              </w:rPr>
              <w:t>胚胎细胞的运动</w:t>
            </w:r>
          </w:p>
        </w:tc>
        <w:tc>
          <w:tcPr>
            <w:tcW w:w="0" w:type="auto"/>
            <w:vAlign w:val="center"/>
          </w:tcPr>
          <w:p w14:paraId="142B486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c>
          <w:tcPr>
            <w:tcW w:w="0" w:type="auto"/>
            <w:vAlign w:val="center"/>
          </w:tcPr>
          <w:p w14:paraId="5B84F6E6"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胚胎三维立体结构形成的细胞生物学解释。</w:t>
            </w:r>
          </w:p>
        </w:tc>
        <w:tc>
          <w:tcPr>
            <w:tcW w:w="0" w:type="auto"/>
            <w:vAlign w:val="center"/>
          </w:tcPr>
          <w:p w14:paraId="1700B5D7" w14:textId="77777777" w:rsidR="006103C8" w:rsidRDefault="006103C8">
            <w:pPr>
              <w:widowControl/>
              <w:spacing w:beforeLines="50" w:before="156" w:afterLines="50" w:after="156"/>
              <w:jc w:val="center"/>
              <w:rPr>
                <w:rFonts w:ascii="宋体" w:eastAsia="宋体" w:hAnsi="宋体"/>
                <w:szCs w:val="21"/>
              </w:rPr>
            </w:pPr>
          </w:p>
        </w:tc>
      </w:tr>
      <w:tr w:rsidR="006103C8" w14:paraId="6F8B619E" w14:textId="77777777">
        <w:trPr>
          <w:trHeight w:val="340"/>
          <w:jc w:val="center"/>
        </w:trPr>
        <w:tc>
          <w:tcPr>
            <w:tcW w:w="562" w:type="dxa"/>
            <w:vAlign w:val="center"/>
          </w:tcPr>
          <w:p w14:paraId="47DE66C6"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3A19820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F9D7CE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基因组的恒定性与差异的基因表达</w:t>
            </w:r>
          </w:p>
        </w:tc>
        <w:tc>
          <w:tcPr>
            <w:tcW w:w="1495" w:type="dxa"/>
            <w:vAlign w:val="center"/>
          </w:tcPr>
          <w:p w14:paraId="57CCFB76" w14:textId="77777777" w:rsidR="006103C8" w:rsidRDefault="003A02D5">
            <w:pPr>
              <w:widowControl/>
              <w:spacing w:beforeLines="50" w:before="156" w:afterLines="50" w:after="156"/>
              <w:rPr>
                <w:rFonts w:ascii="宋体" w:eastAsia="宋体" w:hAnsi="宋体"/>
                <w:szCs w:val="21"/>
              </w:rPr>
            </w:pPr>
            <w:r>
              <w:rPr>
                <w:rFonts w:ascii="宋体" w:eastAsia="宋体" w:hAnsi="宋体"/>
                <w:szCs w:val="21"/>
              </w:rPr>
              <w:t>细胞核机能分析，分化细胞基因组的改变，差异基因的表达。</w:t>
            </w:r>
          </w:p>
        </w:tc>
        <w:tc>
          <w:tcPr>
            <w:tcW w:w="0" w:type="auto"/>
            <w:vAlign w:val="center"/>
          </w:tcPr>
          <w:p w14:paraId="6DD7C66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09E2D315"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根据</w:t>
            </w:r>
            <w:r>
              <w:rPr>
                <w:rFonts w:ascii="宋体" w:eastAsia="宋体" w:hAnsi="宋体"/>
                <w:szCs w:val="21"/>
              </w:rPr>
              <w:t>基因表达时空差异对发育的调控作用机制，设计对某个功能基因的时空表达介入影响，研究确认基因作用的实验方案。</w:t>
            </w:r>
          </w:p>
        </w:tc>
        <w:tc>
          <w:tcPr>
            <w:tcW w:w="0" w:type="auto"/>
            <w:vAlign w:val="center"/>
          </w:tcPr>
          <w:p w14:paraId="5DC87DB5" w14:textId="77777777" w:rsidR="006103C8" w:rsidRDefault="006103C8">
            <w:pPr>
              <w:widowControl/>
              <w:spacing w:beforeLines="50" w:before="156" w:afterLines="50" w:after="156"/>
              <w:jc w:val="center"/>
              <w:rPr>
                <w:rFonts w:ascii="宋体" w:eastAsia="宋体" w:hAnsi="宋体"/>
                <w:szCs w:val="21"/>
              </w:rPr>
            </w:pPr>
          </w:p>
        </w:tc>
      </w:tr>
      <w:tr w:rsidR="006103C8" w14:paraId="1D1BFAC0" w14:textId="77777777">
        <w:trPr>
          <w:trHeight w:val="340"/>
          <w:jc w:val="center"/>
        </w:trPr>
        <w:tc>
          <w:tcPr>
            <w:tcW w:w="562" w:type="dxa"/>
            <w:vAlign w:val="center"/>
          </w:tcPr>
          <w:p w14:paraId="512CD492"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567" w:type="dxa"/>
            <w:vAlign w:val="center"/>
          </w:tcPr>
          <w:p w14:paraId="3FE3CDB7"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2157B5C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胚胎细胞命运的决定</w:t>
            </w:r>
          </w:p>
        </w:tc>
        <w:tc>
          <w:tcPr>
            <w:tcW w:w="1495" w:type="dxa"/>
            <w:vAlign w:val="center"/>
          </w:tcPr>
          <w:p w14:paraId="3CE66EE3"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发育中的信号传导途径、信号活性的调控与相互关联；胚胎诱导作用的方式和机理。</w:t>
            </w:r>
          </w:p>
        </w:tc>
        <w:tc>
          <w:tcPr>
            <w:tcW w:w="0" w:type="auto"/>
            <w:vAlign w:val="center"/>
          </w:tcPr>
          <w:p w14:paraId="6F38C62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70163E73"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根据</w:t>
            </w:r>
            <w:r>
              <w:rPr>
                <w:rFonts w:ascii="宋体" w:eastAsia="宋体" w:hAnsi="宋体"/>
                <w:szCs w:val="21"/>
              </w:rPr>
              <w:t>基因表达时空差异对发育的调控作用机制，寻找或设计一个研究胚胎细胞相互作用的介入实验，通过一种动物的特定时期的特定位置的胚胎细胞互换移植，鉴定和解释胚胎细胞的相互作用。</w:t>
            </w:r>
          </w:p>
        </w:tc>
        <w:tc>
          <w:tcPr>
            <w:tcW w:w="0" w:type="auto"/>
            <w:vAlign w:val="center"/>
          </w:tcPr>
          <w:p w14:paraId="2066A6DC" w14:textId="77777777" w:rsidR="006103C8" w:rsidRDefault="006103C8">
            <w:pPr>
              <w:widowControl/>
              <w:spacing w:beforeLines="50" w:before="156" w:afterLines="50" w:after="156"/>
              <w:jc w:val="center"/>
              <w:rPr>
                <w:rFonts w:ascii="宋体" w:eastAsia="宋体" w:hAnsi="宋体"/>
                <w:szCs w:val="21"/>
              </w:rPr>
            </w:pPr>
          </w:p>
        </w:tc>
      </w:tr>
      <w:tr w:rsidR="006103C8" w14:paraId="00320C0B" w14:textId="77777777">
        <w:trPr>
          <w:trHeight w:val="340"/>
          <w:jc w:val="center"/>
        </w:trPr>
        <w:tc>
          <w:tcPr>
            <w:tcW w:w="562" w:type="dxa"/>
            <w:vAlign w:val="center"/>
          </w:tcPr>
          <w:p w14:paraId="556F4D66"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567" w:type="dxa"/>
            <w:vAlign w:val="center"/>
          </w:tcPr>
          <w:p w14:paraId="29F91DFE"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55006E3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p>
        </w:tc>
        <w:tc>
          <w:tcPr>
            <w:tcW w:w="1495" w:type="dxa"/>
            <w:vAlign w:val="center"/>
          </w:tcPr>
          <w:p w14:paraId="0C92199E"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果蝇胚轴形成过程和调控机制。</w:t>
            </w:r>
          </w:p>
        </w:tc>
        <w:tc>
          <w:tcPr>
            <w:tcW w:w="0" w:type="auto"/>
            <w:vAlign w:val="center"/>
          </w:tcPr>
          <w:p w14:paraId="5BED74C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3FA4C5FD" w14:textId="77777777" w:rsidR="006103C8" w:rsidRDefault="003A02D5">
            <w:pPr>
              <w:widowControl/>
              <w:snapToGrid w:val="0"/>
              <w:rPr>
                <w:rFonts w:ascii="宋体" w:eastAsia="宋体" w:hAnsi="宋体"/>
              </w:rPr>
            </w:pPr>
            <w:r>
              <w:rPr>
                <w:rFonts w:ascii="宋体" w:eastAsia="宋体" w:hAnsi="宋体" w:cs="TimesNewRomanPSMT" w:hint="eastAsia"/>
                <w:color w:val="000000"/>
                <w:kern w:val="0"/>
                <w:szCs w:val="21"/>
              </w:rPr>
              <w:t>从</w:t>
            </w:r>
            <w:r>
              <w:rPr>
                <w:rFonts w:ascii="宋体" w:eastAsia="宋体" w:hAnsi="宋体" w:hint="eastAsia"/>
              </w:rPr>
              <w:t>斑马鱼、鸡、爪</w:t>
            </w:r>
            <w:proofErr w:type="gramStart"/>
            <w:r>
              <w:rPr>
                <w:rFonts w:ascii="宋体" w:eastAsia="宋体" w:hAnsi="宋体" w:hint="eastAsia"/>
              </w:rPr>
              <w:t>蟾</w:t>
            </w:r>
            <w:proofErr w:type="gramEnd"/>
            <w:r>
              <w:rPr>
                <w:rFonts w:ascii="宋体" w:eastAsia="宋体" w:hAnsi="宋体" w:hint="eastAsia"/>
              </w:rPr>
              <w:t>或哺乳类，列举一种动物与果蝇的胚胎体轴形成过程进行比较。</w:t>
            </w:r>
          </w:p>
          <w:p w14:paraId="2F4C4564" w14:textId="77777777" w:rsidR="006103C8" w:rsidRDefault="006103C8">
            <w:pPr>
              <w:widowControl/>
              <w:snapToGrid w:val="0"/>
              <w:rPr>
                <w:rFonts w:ascii="宋体" w:eastAsia="宋体" w:hAnsi="宋体"/>
                <w:szCs w:val="21"/>
              </w:rPr>
            </w:pPr>
          </w:p>
        </w:tc>
        <w:tc>
          <w:tcPr>
            <w:tcW w:w="0" w:type="auto"/>
            <w:vAlign w:val="center"/>
          </w:tcPr>
          <w:p w14:paraId="1C0ED5F0" w14:textId="77777777" w:rsidR="006103C8" w:rsidRDefault="006103C8">
            <w:pPr>
              <w:widowControl/>
              <w:spacing w:beforeLines="50" w:before="156" w:afterLines="50" w:after="156"/>
              <w:jc w:val="center"/>
              <w:rPr>
                <w:rFonts w:ascii="宋体" w:eastAsia="宋体" w:hAnsi="宋体"/>
                <w:szCs w:val="21"/>
              </w:rPr>
            </w:pPr>
          </w:p>
        </w:tc>
      </w:tr>
      <w:tr w:rsidR="006103C8" w14:paraId="31F84C5E" w14:textId="77777777">
        <w:trPr>
          <w:trHeight w:val="340"/>
          <w:jc w:val="center"/>
        </w:trPr>
        <w:tc>
          <w:tcPr>
            <w:tcW w:w="562" w:type="dxa"/>
            <w:vAlign w:val="center"/>
          </w:tcPr>
          <w:p w14:paraId="1B04A9C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1CF248CF"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15DFE553" w14:textId="77777777" w:rsidR="006103C8" w:rsidRDefault="003A02D5">
            <w:pPr>
              <w:snapToGrid w:val="0"/>
              <w:rPr>
                <w:rFonts w:ascii="宋体" w:eastAsia="宋体" w:hAnsi="宋体"/>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外胚层的分化和相关器官的发生</w:t>
            </w:r>
          </w:p>
        </w:tc>
        <w:tc>
          <w:tcPr>
            <w:tcW w:w="1495" w:type="dxa"/>
            <w:vAlign w:val="center"/>
          </w:tcPr>
          <w:p w14:paraId="496D5680"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神经胚，外胚层分化过程和机制。</w:t>
            </w:r>
          </w:p>
        </w:tc>
        <w:tc>
          <w:tcPr>
            <w:tcW w:w="0" w:type="auto"/>
            <w:vAlign w:val="center"/>
          </w:tcPr>
          <w:p w14:paraId="029C52E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c>
          <w:tcPr>
            <w:tcW w:w="0" w:type="auto"/>
            <w:vAlign w:val="center"/>
          </w:tcPr>
          <w:p w14:paraId="4226338D"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人类</w:t>
            </w:r>
            <w:r>
              <w:rPr>
                <w:rFonts w:ascii="宋体" w:eastAsia="宋体" w:hAnsi="宋体"/>
                <w:szCs w:val="21"/>
              </w:rPr>
              <w:t>眼睛的形态发生过程及其</w:t>
            </w:r>
            <w:r>
              <w:rPr>
                <w:rFonts w:ascii="宋体" w:eastAsia="宋体" w:hAnsi="宋体" w:hint="eastAsia"/>
                <w:bCs/>
                <w:szCs w:val="21"/>
              </w:rPr>
              <w:t>发育的主要调控基因。</w:t>
            </w:r>
          </w:p>
        </w:tc>
        <w:tc>
          <w:tcPr>
            <w:tcW w:w="0" w:type="auto"/>
            <w:vAlign w:val="center"/>
          </w:tcPr>
          <w:p w14:paraId="4E947FD1" w14:textId="77777777" w:rsidR="006103C8" w:rsidRDefault="006103C8">
            <w:pPr>
              <w:widowControl/>
              <w:spacing w:beforeLines="50" w:before="156" w:afterLines="50" w:after="156"/>
              <w:jc w:val="center"/>
              <w:rPr>
                <w:rFonts w:ascii="宋体" w:eastAsia="宋体" w:hAnsi="宋体"/>
                <w:szCs w:val="21"/>
              </w:rPr>
            </w:pPr>
          </w:p>
        </w:tc>
      </w:tr>
      <w:tr w:rsidR="006103C8" w14:paraId="737D445C" w14:textId="77777777">
        <w:trPr>
          <w:trHeight w:val="340"/>
          <w:jc w:val="center"/>
        </w:trPr>
        <w:tc>
          <w:tcPr>
            <w:tcW w:w="562" w:type="dxa"/>
            <w:vAlign w:val="center"/>
          </w:tcPr>
          <w:p w14:paraId="1D968B04"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335FDC44"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F91DEF0" w14:textId="77777777" w:rsidR="006103C8" w:rsidRDefault="003A02D5">
            <w:pPr>
              <w:snapToGrid w:val="0"/>
              <w:rPr>
                <w:rFonts w:ascii="宋体" w:eastAsia="宋体" w:hAnsi="宋体"/>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中胚层的分化和相关器官的发生</w:t>
            </w:r>
          </w:p>
        </w:tc>
        <w:tc>
          <w:tcPr>
            <w:tcW w:w="1495" w:type="dxa"/>
            <w:vAlign w:val="center"/>
          </w:tcPr>
          <w:p w14:paraId="1A228CE9"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内胚层分化过程及其调控机制。</w:t>
            </w:r>
          </w:p>
        </w:tc>
        <w:tc>
          <w:tcPr>
            <w:tcW w:w="0" w:type="auto"/>
            <w:vAlign w:val="center"/>
          </w:tcPr>
          <w:p w14:paraId="3A84738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c>
          <w:tcPr>
            <w:tcW w:w="0" w:type="auto"/>
            <w:vAlign w:val="center"/>
          </w:tcPr>
          <w:p w14:paraId="0650D451"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人类肾脏形成的</w:t>
            </w:r>
            <w:r>
              <w:rPr>
                <w:rFonts w:ascii="宋体" w:eastAsia="宋体" w:hAnsi="宋体"/>
                <w:szCs w:val="21"/>
              </w:rPr>
              <w:t>发生过程及其机制</w:t>
            </w:r>
            <w:r>
              <w:rPr>
                <w:rFonts w:ascii="宋体" w:eastAsia="宋体" w:hAnsi="宋体" w:hint="eastAsia"/>
                <w:bCs/>
                <w:szCs w:val="21"/>
              </w:rPr>
              <w:t>。</w:t>
            </w:r>
          </w:p>
        </w:tc>
        <w:tc>
          <w:tcPr>
            <w:tcW w:w="0" w:type="auto"/>
            <w:vAlign w:val="center"/>
          </w:tcPr>
          <w:p w14:paraId="65EDEBD5" w14:textId="77777777" w:rsidR="006103C8" w:rsidRDefault="006103C8">
            <w:pPr>
              <w:widowControl/>
              <w:spacing w:beforeLines="50" w:before="156" w:afterLines="50" w:after="156"/>
              <w:jc w:val="center"/>
              <w:rPr>
                <w:rFonts w:ascii="宋体" w:eastAsia="宋体" w:hAnsi="宋体"/>
                <w:szCs w:val="21"/>
              </w:rPr>
            </w:pPr>
          </w:p>
        </w:tc>
      </w:tr>
      <w:tr w:rsidR="006103C8" w14:paraId="5487A311" w14:textId="77777777">
        <w:trPr>
          <w:trHeight w:val="340"/>
          <w:jc w:val="center"/>
        </w:trPr>
        <w:tc>
          <w:tcPr>
            <w:tcW w:w="562" w:type="dxa"/>
            <w:vAlign w:val="center"/>
          </w:tcPr>
          <w:p w14:paraId="27B4728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509AC80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5CF7F78D" w14:textId="77777777" w:rsidR="006103C8" w:rsidRDefault="003A02D5">
            <w:pPr>
              <w:snapToGrid w:val="0"/>
              <w:rPr>
                <w:rFonts w:ascii="宋体" w:eastAsia="宋体" w:hAnsi="宋体"/>
                <w:szCs w:val="21"/>
              </w:rPr>
            </w:pPr>
            <w:r>
              <w:rPr>
                <w:rFonts w:ascii="Times New Roman" w:eastAsia="宋体" w:hAnsi="Times New Roman" w:cs="Times New Roman"/>
                <w:szCs w:val="21"/>
              </w:rPr>
              <w:t>第十三章</w:t>
            </w:r>
            <w:r>
              <w:rPr>
                <w:rFonts w:ascii="Times New Roman" w:eastAsia="宋体" w:hAnsi="Times New Roman" w:cs="Times New Roman"/>
                <w:szCs w:val="21"/>
              </w:rPr>
              <w:t xml:space="preserve"> </w:t>
            </w:r>
            <w:r>
              <w:rPr>
                <w:rFonts w:ascii="Times New Roman" w:eastAsia="宋体" w:hAnsi="Times New Roman" w:cs="Times New Roman"/>
                <w:szCs w:val="21"/>
              </w:rPr>
              <w:t>内胚层的分化和相关器官的发生</w:t>
            </w:r>
          </w:p>
        </w:tc>
        <w:tc>
          <w:tcPr>
            <w:tcW w:w="1495" w:type="dxa"/>
            <w:vAlign w:val="center"/>
          </w:tcPr>
          <w:p w14:paraId="2FE0BB9C"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内胚层分化过程及其调控机制。</w:t>
            </w:r>
          </w:p>
        </w:tc>
        <w:tc>
          <w:tcPr>
            <w:tcW w:w="0" w:type="auto"/>
            <w:vAlign w:val="center"/>
          </w:tcPr>
          <w:p w14:paraId="5B8A0BE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c>
          <w:tcPr>
            <w:tcW w:w="0" w:type="auto"/>
            <w:vAlign w:val="center"/>
          </w:tcPr>
          <w:p w14:paraId="59F7EB58" w14:textId="77777777" w:rsidR="006103C8" w:rsidRDefault="003A02D5">
            <w:pPr>
              <w:widowControl/>
              <w:snapToGrid w:val="0"/>
              <w:jc w:val="center"/>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一种无脊椎动物或两栖类动物原始消化管的</w:t>
            </w:r>
            <w:r>
              <w:rPr>
                <w:rFonts w:ascii="宋体" w:eastAsia="宋体" w:hAnsi="宋体"/>
                <w:szCs w:val="21"/>
              </w:rPr>
              <w:t>发生过程及其机制</w:t>
            </w:r>
            <w:r>
              <w:rPr>
                <w:rFonts w:ascii="宋体" w:eastAsia="宋体" w:hAnsi="宋体" w:hint="eastAsia"/>
                <w:bCs/>
                <w:szCs w:val="21"/>
              </w:rPr>
              <w:t>。</w:t>
            </w:r>
          </w:p>
        </w:tc>
        <w:tc>
          <w:tcPr>
            <w:tcW w:w="0" w:type="auto"/>
            <w:vAlign w:val="center"/>
          </w:tcPr>
          <w:p w14:paraId="170C78EC" w14:textId="77777777" w:rsidR="006103C8" w:rsidRDefault="006103C8">
            <w:pPr>
              <w:widowControl/>
              <w:spacing w:beforeLines="50" w:before="156" w:afterLines="50" w:after="156"/>
              <w:jc w:val="center"/>
              <w:rPr>
                <w:rFonts w:ascii="宋体" w:eastAsia="宋体" w:hAnsi="宋体"/>
                <w:szCs w:val="21"/>
              </w:rPr>
            </w:pPr>
          </w:p>
        </w:tc>
      </w:tr>
      <w:tr w:rsidR="006103C8" w14:paraId="668C66DE" w14:textId="77777777">
        <w:trPr>
          <w:trHeight w:val="340"/>
          <w:jc w:val="center"/>
        </w:trPr>
        <w:tc>
          <w:tcPr>
            <w:tcW w:w="562" w:type="dxa"/>
            <w:vAlign w:val="center"/>
          </w:tcPr>
          <w:p w14:paraId="728798E4"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57015B3D"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6A16091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r>
              <w:rPr>
                <w:rFonts w:ascii="Times New Roman" w:eastAsia="宋体" w:hAnsi="Times New Roman" w:cs="Times New Roman"/>
                <w:szCs w:val="21"/>
              </w:rPr>
              <w:t xml:space="preserve"> </w:t>
            </w:r>
            <w:r>
              <w:rPr>
                <w:rFonts w:ascii="Times New Roman" w:eastAsia="宋体" w:hAnsi="Times New Roman" w:cs="Times New Roman"/>
                <w:szCs w:val="21"/>
              </w:rPr>
              <w:t>肢的发育</w:t>
            </w:r>
          </w:p>
        </w:tc>
        <w:tc>
          <w:tcPr>
            <w:tcW w:w="1495" w:type="dxa"/>
            <w:vAlign w:val="center"/>
          </w:tcPr>
          <w:p w14:paraId="6A681165"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附肢场与动物附肢的发育。</w:t>
            </w:r>
          </w:p>
        </w:tc>
        <w:tc>
          <w:tcPr>
            <w:tcW w:w="0" w:type="auto"/>
            <w:vAlign w:val="center"/>
          </w:tcPr>
          <w:p w14:paraId="35703F8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2E43320F" w14:textId="77777777" w:rsidR="006103C8" w:rsidRDefault="003A02D5">
            <w:pPr>
              <w:widowControl/>
              <w:snapToGrid w:val="0"/>
              <w:jc w:val="left"/>
            </w:pPr>
            <w:r>
              <w:rPr>
                <w:rFonts w:ascii="宋体" w:eastAsia="宋体" w:hAnsi="宋体" w:cs="TimesNewRomanPSMT" w:hint="eastAsia"/>
                <w:color w:val="000000"/>
                <w:kern w:val="0"/>
                <w:szCs w:val="21"/>
              </w:rPr>
              <w:t>描述</w:t>
            </w:r>
            <w:r>
              <w:rPr>
                <w:rFonts w:ascii="宋体" w:eastAsia="宋体" w:hAnsi="宋体" w:hint="eastAsia"/>
                <w:szCs w:val="21"/>
              </w:rPr>
              <w:t>一种动物（包括人类）附肢畸形的发生可能</w:t>
            </w:r>
            <w:r>
              <w:rPr>
                <w:rFonts w:ascii="宋体" w:eastAsia="宋体" w:hAnsi="宋体"/>
                <w:szCs w:val="21"/>
              </w:rPr>
              <w:t>机制</w:t>
            </w:r>
            <w:r>
              <w:rPr>
                <w:rFonts w:ascii="宋体" w:eastAsia="宋体" w:hAnsi="宋体" w:hint="eastAsia"/>
                <w:bCs/>
                <w:szCs w:val="21"/>
              </w:rPr>
              <w:t>。</w:t>
            </w:r>
          </w:p>
        </w:tc>
        <w:tc>
          <w:tcPr>
            <w:tcW w:w="0" w:type="auto"/>
            <w:vAlign w:val="center"/>
          </w:tcPr>
          <w:p w14:paraId="62E42C82" w14:textId="77777777" w:rsidR="006103C8" w:rsidRDefault="006103C8">
            <w:pPr>
              <w:widowControl/>
              <w:spacing w:beforeLines="50" w:before="156" w:afterLines="50" w:after="156"/>
              <w:jc w:val="center"/>
              <w:rPr>
                <w:rFonts w:ascii="宋体" w:eastAsia="宋体" w:hAnsi="宋体"/>
                <w:szCs w:val="21"/>
              </w:rPr>
            </w:pPr>
          </w:p>
        </w:tc>
      </w:tr>
    </w:tbl>
    <w:p w14:paraId="33534537" w14:textId="77777777" w:rsidR="006103C8" w:rsidRDefault="003A02D5">
      <w:pPr>
        <w:widowControl/>
        <w:snapToGrid w:val="0"/>
        <w:spacing w:beforeLines="50" w:before="156" w:afterLines="50" w:after="156"/>
        <w:ind w:firstLineChars="200" w:firstLine="562"/>
        <w:jc w:val="left"/>
      </w:pPr>
      <w:r>
        <w:rPr>
          <w:rFonts w:ascii="黑体" w:eastAsia="黑体" w:hAnsi="黑体" w:hint="eastAsia"/>
          <w:b/>
          <w:sz w:val="28"/>
          <w:szCs w:val="28"/>
        </w:rPr>
        <w:t>六、教材及参考书目</w:t>
      </w:r>
    </w:p>
    <w:p w14:paraId="1C931E68" w14:textId="77777777" w:rsidR="006103C8" w:rsidRDefault="003A02D5">
      <w:pPr>
        <w:pStyle w:val="ad"/>
        <w:widowControl/>
        <w:numPr>
          <w:ilvl w:val="0"/>
          <w:numId w:val="1"/>
        </w:numPr>
        <w:snapToGrid w:val="0"/>
        <w:spacing w:beforeLines="50" w:before="156" w:afterLines="50" w:after="156"/>
        <w:ind w:firstLineChars="0"/>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教材</w:t>
      </w:r>
    </w:p>
    <w:p w14:paraId="530243F0" w14:textId="77777777" w:rsidR="006103C8" w:rsidRDefault="003A02D5">
      <w:pPr>
        <w:autoSpaceDE w:val="0"/>
        <w:autoSpaceDN w:val="0"/>
        <w:adjustRightInd w:val="0"/>
        <w:snapToGrid w:val="0"/>
        <w:spacing w:before="50" w:after="50"/>
        <w:ind w:firstLineChars="200" w:firstLine="420"/>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尤永隆，林丹军，张彦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发育生物学（普通高等教育“十二五”规划教材）</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w:t>
      </w:r>
      <w:r>
        <w:rPr>
          <w:rFonts w:ascii="Times New Roman" w:eastAsia="宋体" w:hAnsi="Times New Roman" w:cs="Times New Roman" w:hint="eastAsia"/>
          <w:color w:val="000000"/>
          <w:szCs w:val="21"/>
        </w:rPr>
        <w:t>科学出版社，</w:t>
      </w:r>
      <w:r>
        <w:rPr>
          <w:rFonts w:ascii="Times New Roman" w:eastAsia="宋体" w:hAnsi="Times New Roman" w:cs="Times New Roman" w:hint="eastAsia"/>
          <w:color w:val="000000"/>
          <w:szCs w:val="21"/>
        </w:rPr>
        <w:t>2011</w:t>
      </w:r>
      <w:r>
        <w:rPr>
          <w:rFonts w:ascii="Times New Roman" w:eastAsia="宋体" w:hAnsi="Times New Roman" w:cs="Times New Roman"/>
          <w:color w:val="000000"/>
          <w:szCs w:val="21"/>
        </w:rPr>
        <w:t xml:space="preserve">. </w:t>
      </w:r>
    </w:p>
    <w:p w14:paraId="18F524F5" w14:textId="77777777" w:rsidR="006103C8" w:rsidRDefault="003A02D5">
      <w:pPr>
        <w:widowControl/>
        <w:snapToGrid w:val="0"/>
        <w:spacing w:beforeLines="50" w:before="156" w:afterLines="50" w:after="156"/>
        <w:jc w:val="left"/>
        <w:rPr>
          <w:rFonts w:ascii="宋体" w:eastAsia="宋体" w:hAnsi="宋体"/>
          <w:b/>
        </w:rPr>
      </w:pPr>
      <w:r>
        <w:rPr>
          <w:rFonts w:ascii="宋体" w:eastAsia="宋体" w:hAnsi="宋体" w:hint="eastAsia"/>
          <w:b/>
        </w:rPr>
        <w:t xml:space="preserve"> </w:t>
      </w:r>
      <w:r>
        <w:rPr>
          <w:rFonts w:ascii="宋体" w:eastAsia="宋体" w:hAnsi="宋体"/>
          <w:b/>
        </w:rPr>
        <w:t xml:space="preserve">    2. </w:t>
      </w:r>
      <w:r>
        <w:rPr>
          <w:rFonts w:ascii="宋体" w:eastAsia="宋体" w:hAnsi="宋体"/>
          <w:b/>
        </w:rPr>
        <w:t>参考书目</w:t>
      </w:r>
    </w:p>
    <w:p w14:paraId="0F978B85" w14:textId="77777777" w:rsidR="006103C8" w:rsidRDefault="003A02D5">
      <w:pPr>
        <w:pStyle w:val="ad"/>
        <w:numPr>
          <w:ilvl w:val="0"/>
          <w:numId w:val="2"/>
        </w:numPr>
        <w:autoSpaceDE w:val="0"/>
        <w:autoSpaceDN w:val="0"/>
        <w:adjustRightInd w:val="0"/>
        <w:snapToGrid w:val="0"/>
        <w:spacing w:before="50" w:after="50"/>
        <w:ind w:firstLineChars="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张红卫</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北京：高等教育出版社，第</w:t>
      </w:r>
      <w:r>
        <w:rPr>
          <w:rFonts w:ascii="Times New Roman" w:eastAsia="宋体" w:hAnsi="Times New Roman" w:cs="Times New Roman"/>
          <w:color w:val="000000"/>
          <w:szCs w:val="21"/>
        </w:rPr>
        <w:t>3</w:t>
      </w:r>
      <w:r>
        <w:rPr>
          <w:rFonts w:ascii="Times New Roman" w:eastAsia="宋体" w:hAnsi="Times New Roman" w:cs="Times New Roman"/>
          <w:color w:val="000000"/>
          <w:szCs w:val="21"/>
        </w:rPr>
        <w:t>版，</w:t>
      </w:r>
      <w:r>
        <w:rPr>
          <w:rFonts w:ascii="Times New Roman" w:eastAsia="宋体" w:hAnsi="Times New Roman" w:cs="Times New Roman"/>
          <w:color w:val="000000"/>
          <w:szCs w:val="21"/>
        </w:rPr>
        <w:t>2013.</w:t>
      </w:r>
    </w:p>
    <w:p w14:paraId="43D02FDA" w14:textId="77777777" w:rsidR="006103C8" w:rsidRDefault="003A02D5">
      <w:pPr>
        <w:pStyle w:val="ad"/>
        <w:numPr>
          <w:ilvl w:val="0"/>
          <w:numId w:val="2"/>
        </w:numPr>
        <w:autoSpaceDE w:val="0"/>
        <w:autoSpaceDN w:val="0"/>
        <w:adjustRightInd w:val="0"/>
        <w:snapToGrid w:val="0"/>
        <w:spacing w:before="50" w:after="50"/>
        <w:ind w:firstLineChars="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樊启昶，</w:t>
      </w:r>
      <w:proofErr w:type="gramStart"/>
      <w:r>
        <w:rPr>
          <w:rFonts w:ascii="Times New Roman" w:eastAsia="宋体" w:hAnsi="Times New Roman" w:cs="Times New Roman" w:hint="eastAsia"/>
          <w:color w:val="000000"/>
          <w:szCs w:val="21"/>
        </w:rPr>
        <w:t>白书农</w:t>
      </w:r>
      <w:proofErr w:type="gramEnd"/>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发育生物学原理</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北京：高等教育出版社，</w:t>
      </w:r>
      <w:r>
        <w:rPr>
          <w:rFonts w:ascii="Times New Roman" w:eastAsia="宋体" w:hAnsi="Times New Roman" w:cs="Times New Roman" w:hint="eastAsia"/>
          <w:color w:val="000000"/>
          <w:szCs w:val="21"/>
        </w:rPr>
        <w:t>2</w:t>
      </w:r>
      <w:r>
        <w:rPr>
          <w:rFonts w:ascii="Times New Roman" w:eastAsia="宋体" w:hAnsi="Times New Roman" w:cs="Times New Roman"/>
          <w:color w:val="000000"/>
          <w:szCs w:val="21"/>
        </w:rPr>
        <w:t>002.</w:t>
      </w:r>
    </w:p>
    <w:p w14:paraId="24C8A36D"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Jonathan M. W. Slack</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发育生物学基础</w:t>
      </w:r>
      <w:r>
        <w:rPr>
          <w:rFonts w:ascii="Times New Roman" w:eastAsia="宋体" w:hAnsi="Times New Roman" w:cs="Times New Roman"/>
          <w:bCs/>
          <w:color w:val="000000"/>
          <w:szCs w:val="21"/>
        </w:rPr>
        <w:t>（影印版）</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 xml:space="preserve"> </w:t>
      </w:r>
      <w:r>
        <w:rPr>
          <w:rFonts w:ascii="Times New Roman" w:eastAsia="宋体" w:hAnsi="Times New Roman" w:cs="Times New Roman"/>
          <w:bCs/>
          <w:color w:val="000000"/>
          <w:szCs w:val="21"/>
        </w:rPr>
        <w:t>北京：</w:t>
      </w:r>
      <w:r>
        <w:rPr>
          <w:rFonts w:ascii="Times New Roman" w:eastAsia="宋体" w:hAnsi="Times New Roman" w:cs="Times New Roman"/>
          <w:color w:val="000000"/>
          <w:szCs w:val="21"/>
        </w:rPr>
        <w:t>高等教育出版社，</w:t>
      </w:r>
      <w:r>
        <w:rPr>
          <w:rFonts w:ascii="Times New Roman" w:eastAsia="宋体" w:hAnsi="Times New Roman" w:cs="Times New Roman"/>
          <w:color w:val="000000"/>
          <w:szCs w:val="21"/>
        </w:rPr>
        <w:t>2002.</w:t>
      </w:r>
    </w:p>
    <w:p w14:paraId="40324F49"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proofErr w:type="gramStart"/>
      <w:r>
        <w:rPr>
          <w:rFonts w:ascii="Times New Roman" w:eastAsia="宋体" w:hAnsi="Times New Roman" w:cs="Times New Roman"/>
          <w:color w:val="000000"/>
          <w:szCs w:val="21"/>
        </w:rPr>
        <w:t>桂建芳</w:t>
      </w:r>
      <w:proofErr w:type="gramEnd"/>
      <w:r>
        <w:rPr>
          <w:rFonts w:ascii="Times New Roman" w:eastAsia="宋体" w:hAnsi="Times New Roman" w:cs="Times New Roman"/>
          <w:color w:val="000000"/>
          <w:szCs w:val="21"/>
        </w:rPr>
        <w:t>，</w:t>
      </w:r>
      <w:proofErr w:type="gramStart"/>
      <w:r>
        <w:rPr>
          <w:rFonts w:ascii="Times New Roman" w:eastAsia="宋体" w:hAnsi="Times New Roman" w:cs="Times New Roman"/>
          <w:color w:val="000000"/>
          <w:szCs w:val="21"/>
        </w:rPr>
        <w:t>易梅生</w:t>
      </w:r>
      <w:proofErr w:type="gramEnd"/>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北京：科学出版社，</w:t>
      </w:r>
      <w:r>
        <w:rPr>
          <w:rFonts w:ascii="Times New Roman" w:eastAsia="宋体" w:hAnsi="Times New Roman" w:cs="Times New Roman" w:hint="eastAsia"/>
          <w:color w:val="000000"/>
          <w:szCs w:val="21"/>
        </w:rPr>
        <w:t>2</w:t>
      </w:r>
      <w:r>
        <w:rPr>
          <w:rFonts w:ascii="Times New Roman" w:eastAsia="宋体" w:hAnsi="Times New Roman" w:cs="Times New Roman"/>
          <w:color w:val="000000"/>
          <w:szCs w:val="21"/>
        </w:rPr>
        <w:t>002.</w:t>
      </w:r>
    </w:p>
    <w:p w14:paraId="65187052"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William Sullivan et al. Drosophila Protocols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Cold 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2000. </w:t>
      </w:r>
      <w:r>
        <w:rPr>
          <w:rFonts w:ascii="Times New Roman" w:eastAsia="宋体" w:hAnsi="Times New Roman" w:cs="Times New Roman"/>
          <w:color w:val="000000"/>
          <w:szCs w:val="21"/>
        </w:rPr>
        <w:t>果蝇实验指南（影印），北京：科学出版社，</w:t>
      </w:r>
      <w:r>
        <w:rPr>
          <w:rFonts w:ascii="Times New Roman" w:eastAsia="宋体" w:hAnsi="Times New Roman" w:cs="Times New Roman"/>
          <w:color w:val="000000"/>
          <w:szCs w:val="21"/>
        </w:rPr>
        <w:t>2003</w:t>
      </w:r>
      <w:r>
        <w:rPr>
          <w:rFonts w:ascii="Times New Roman" w:eastAsia="宋体" w:hAnsi="Times New Roman" w:cs="Times New Roman"/>
          <w:color w:val="000000"/>
          <w:szCs w:val="21"/>
        </w:rPr>
        <w:t>年</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p>
    <w:p w14:paraId="7599DA98"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Hazel L </w:t>
      </w:r>
      <w:proofErr w:type="spellStart"/>
      <w:r>
        <w:rPr>
          <w:rFonts w:ascii="Times New Roman" w:eastAsia="宋体" w:hAnsi="Times New Roman" w:cs="Times New Roman"/>
          <w:color w:val="000000"/>
          <w:szCs w:val="21"/>
        </w:rPr>
        <w:t>Sive</w:t>
      </w:r>
      <w:proofErr w:type="spellEnd"/>
      <w:r>
        <w:rPr>
          <w:rFonts w:ascii="Times New Roman" w:eastAsia="宋体" w:hAnsi="Times New Roman" w:cs="Times New Roman"/>
          <w:color w:val="000000"/>
          <w:szCs w:val="21"/>
        </w:rPr>
        <w:t xml:space="preserve"> et al. Early Development of Xenopus </w:t>
      </w:r>
      <w:proofErr w:type="spellStart"/>
      <w:r>
        <w:rPr>
          <w:rFonts w:ascii="Times New Roman" w:eastAsia="宋体" w:hAnsi="Times New Roman" w:cs="Times New Roman"/>
          <w:color w:val="000000"/>
          <w:szCs w:val="21"/>
        </w:rPr>
        <w:t>laevis</w:t>
      </w:r>
      <w:proofErr w:type="spellEnd"/>
      <w:r>
        <w:rPr>
          <w:rFonts w:ascii="Times New Roman" w:eastAsia="宋体" w:hAnsi="Times New Roman" w:cs="Times New Roman"/>
          <w:color w:val="000000"/>
          <w:szCs w:val="21"/>
        </w:rPr>
        <w:t xml:space="preserve">: a Laboratory Manual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Cold 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2000. </w:t>
      </w:r>
      <w:r>
        <w:rPr>
          <w:rFonts w:ascii="Times New Roman" w:eastAsia="宋体" w:hAnsi="Times New Roman" w:cs="Times New Roman"/>
          <w:color w:val="000000"/>
          <w:szCs w:val="21"/>
        </w:rPr>
        <w:t>爪</w:t>
      </w:r>
      <w:proofErr w:type="gramStart"/>
      <w:r>
        <w:rPr>
          <w:rFonts w:ascii="Times New Roman" w:eastAsia="宋体" w:hAnsi="Times New Roman" w:cs="Times New Roman"/>
          <w:color w:val="000000"/>
          <w:szCs w:val="21"/>
        </w:rPr>
        <w:t>蟾</w:t>
      </w:r>
      <w:proofErr w:type="gramEnd"/>
      <w:r>
        <w:rPr>
          <w:rFonts w:ascii="Times New Roman" w:eastAsia="宋体" w:hAnsi="Times New Roman" w:cs="Times New Roman"/>
          <w:color w:val="000000"/>
          <w:szCs w:val="21"/>
        </w:rPr>
        <w:t>早期发育实验指南（影印）</w:t>
      </w:r>
      <w:r>
        <w:rPr>
          <w:rFonts w:ascii="Times New Roman" w:eastAsia="宋体" w:hAnsi="Times New Roman" w:cs="Times New Roman"/>
          <w:color w:val="000000"/>
          <w:szCs w:val="21"/>
        </w:rPr>
        <w:t>，北京：科学出版社，</w:t>
      </w:r>
      <w:r>
        <w:rPr>
          <w:rFonts w:ascii="Times New Roman" w:eastAsia="宋体" w:hAnsi="Times New Roman" w:cs="Times New Roman"/>
          <w:color w:val="000000"/>
          <w:szCs w:val="21"/>
        </w:rPr>
        <w:t>2003</w:t>
      </w:r>
      <w:r>
        <w:rPr>
          <w:rFonts w:ascii="Times New Roman" w:eastAsia="宋体" w:hAnsi="Times New Roman" w:cs="Times New Roman" w:hint="eastAsia"/>
          <w:color w:val="000000"/>
          <w:szCs w:val="21"/>
        </w:rPr>
        <w:t>.</w:t>
      </w:r>
    </w:p>
    <w:p w14:paraId="2A63ED22"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Andras Nagy </w:t>
      </w:r>
      <w:r>
        <w:rPr>
          <w:rFonts w:ascii="Times New Roman" w:eastAsia="宋体" w:hAnsi="Times New Roman" w:cs="Times New Roman"/>
          <w:i/>
          <w:color w:val="000000"/>
          <w:szCs w:val="21"/>
        </w:rPr>
        <w:t>et al</w:t>
      </w:r>
      <w:r>
        <w:rPr>
          <w:rFonts w:ascii="Times New Roman" w:eastAsia="宋体" w:hAnsi="Times New Roman" w:cs="Times New Roman"/>
          <w:color w:val="000000"/>
          <w:szCs w:val="21"/>
        </w:rPr>
        <w:t xml:space="preserve"> ed. Manipulating the Mouse Embryo</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A laboratory Manual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xml:space="preserve">. Cold </w:t>
      </w:r>
      <w:r>
        <w:rPr>
          <w:rFonts w:ascii="Times New Roman" w:eastAsia="宋体" w:hAnsi="Times New Roman" w:cs="Times New Roman"/>
          <w:color w:val="000000"/>
          <w:szCs w:val="21"/>
        </w:rPr>
        <w:lastRenderedPageBreak/>
        <w:t>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2003. </w:t>
      </w:r>
      <w:r>
        <w:rPr>
          <w:rFonts w:ascii="Times New Roman" w:eastAsia="宋体" w:hAnsi="Times New Roman" w:cs="Times New Roman"/>
          <w:color w:val="000000"/>
          <w:szCs w:val="21"/>
        </w:rPr>
        <w:t>小鼠胚胎操作实验指南（影印），科学出版社，</w:t>
      </w:r>
      <w:r>
        <w:rPr>
          <w:rFonts w:ascii="Times New Roman" w:eastAsia="宋体" w:hAnsi="Times New Roman" w:cs="Times New Roman"/>
          <w:color w:val="000000"/>
          <w:szCs w:val="21"/>
        </w:rPr>
        <w:t>2003</w:t>
      </w:r>
      <w:r>
        <w:rPr>
          <w:rFonts w:ascii="Times New Roman" w:eastAsia="宋体" w:hAnsi="Times New Roman" w:cs="Times New Roman" w:hint="eastAsia"/>
          <w:color w:val="000000"/>
          <w:szCs w:val="21"/>
        </w:rPr>
        <w:t>.</w:t>
      </w:r>
    </w:p>
    <w:p w14:paraId="568D0B31"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杨秀荣</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蒋和生</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杨宁</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鸟类性别决定与性别分化机制</w:t>
      </w:r>
      <w:r>
        <w:rPr>
          <w:rFonts w:ascii="Times New Roman" w:eastAsia="宋体" w:hAnsi="Times New Roman" w:cs="Times New Roman"/>
          <w:color w:val="000000"/>
          <w:szCs w:val="21"/>
        </w:rPr>
        <w:t xml:space="preserve">[J]. </w:t>
      </w:r>
      <w:r>
        <w:rPr>
          <w:rFonts w:ascii="Times New Roman" w:eastAsia="宋体" w:hAnsi="Times New Roman" w:cs="Times New Roman"/>
          <w:color w:val="000000"/>
          <w:szCs w:val="21"/>
        </w:rPr>
        <w:t>遗传</w:t>
      </w:r>
      <w:r>
        <w:rPr>
          <w:rFonts w:ascii="Times New Roman" w:eastAsia="宋体" w:hAnsi="Times New Roman" w:cs="Times New Roman"/>
          <w:color w:val="000000"/>
          <w:szCs w:val="21"/>
        </w:rPr>
        <w:t>, 2012, (04):407-411.</w:t>
      </w:r>
    </w:p>
    <w:p w14:paraId="7BF32878"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杨东</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余来宁</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鱼类性别与性别鉴定</w:t>
      </w:r>
      <w:r>
        <w:rPr>
          <w:rFonts w:ascii="Times New Roman" w:eastAsia="宋体" w:hAnsi="Times New Roman" w:cs="Times New Roman"/>
          <w:color w:val="000000"/>
          <w:szCs w:val="21"/>
        </w:rPr>
        <w:t xml:space="preserve">[J]. </w:t>
      </w:r>
      <w:r>
        <w:rPr>
          <w:rFonts w:ascii="Times New Roman" w:eastAsia="宋体" w:hAnsi="Times New Roman" w:cs="Times New Roman"/>
          <w:color w:val="000000"/>
          <w:szCs w:val="21"/>
        </w:rPr>
        <w:t>水生生物学报</w:t>
      </w:r>
      <w:r>
        <w:rPr>
          <w:rFonts w:ascii="Times New Roman" w:eastAsia="宋体" w:hAnsi="Times New Roman" w:cs="Times New Roman"/>
          <w:color w:val="000000"/>
          <w:szCs w:val="21"/>
        </w:rPr>
        <w:t>, 2006, 30</w:t>
      </w:r>
      <w:r>
        <w:rPr>
          <w:rFonts w:ascii="Times New Roman" w:eastAsia="宋体" w:hAnsi="Times New Roman" w:cs="Times New Roman"/>
          <w:color w:val="000000"/>
          <w:szCs w:val="21"/>
        </w:rPr>
        <w:t>(2):221-226.</w:t>
      </w:r>
    </w:p>
    <w:p w14:paraId="3A648359"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Albert A Y K, Otto S P. Sexual selection can resolve sex-linked sexual antagonism [J]. Science, 2010, (5745):119-121.</w:t>
      </w:r>
    </w:p>
    <w:p w14:paraId="3D0FBBA2" w14:textId="77777777" w:rsidR="006103C8" w:rsidRDefault="003A02D5">
      <w:pPr>
        <w:widowControl/>
        <w:snapToGrid w:val="0"/>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1F9E0893" w14:textId="77777777" w:rsidR="006103C8" w:rsidRDefault="003A02D5">
      <w:pPr>
        <w:widowControl/>
        <w:snapToGrid w:val="0"/>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w:t>
      </w:r>
    </w:p>
    <w:p w14:paraId="0CBBB743"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1</w:t>
      </w:r>
      <w:r>
        <w:rPr>
          <w:rFonts w:ascii="宋体" w:eastAsia="宋体" w:hAnsi="宋体"/>
          <w:b/>
        </w:rPr>
        <w:t xml:space="preserve">. </w:t>
      </w:r>
      <w:r>
        <w:rPr>
          <w:rFonts w:ascii="宋体" w:eastAsia="宋体" w:hAnsi="宋体" w:hint="eastAsia"/>
          <w:b/>
        </w:rPr>
        <w:t>讲授法：</w:t>
      </w:r>
      <w:r>
        <w:rPr>
          <w:rFonts w:ascii="宋体" w:eastAsia="宋体" w:hAnsi="宋体" w:hint="eastAsia"/>
        </w:rPr>
        <w:t>教师以引领性的教学</w:t>
      </w:r>
      <w:r>
        <w:rPr>
          <w:rFonts w:ascii="宋体" w:eastAsia="宋体" w:hAnsi="宋体" w:hint="eastAsia"/>
        </w:rPr>
        <w:t>PPT</w:t>
      </w:r>
      <w:r>
        <w:rPr>
          <w:rFonts w:ascii="宋体" w:eastAsia="宋体" w:hAnsi="宋体" w:hint="eastAsia"/>
        </w:rPr>
        <w:t>和教学视频等其他教具讲解。见各章教学方法描述。</w:t>
      </w:r>
    </w:p>
    <w:p w14:paraId="1872403C"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2</w:t>
      </w:r>
      <w:r>
        <w:rPr>
          <w:rFonts w:ascii="宋体" w:eastAsia="宋体" w:hAnsi="宋体"/>
          <w:b/>
        </w:rPr>
        <w:t xml:space="preserve">. </w:t>
      </w:r>
      <w:r>
        <w:rPr>
          <w:rFonts w:ascii="宋体" w:eastAsia="宋体" w:hAnsi="宋体" w:hint="eastAsia"/>
          <w:b/>
        </w:rPr>
        <w:t>讨论法：</w:t>
      </w:r>
      <w:r>
        <w:rPr>
          <w:rFonts w:ascii="宋体" w:eastAsia="宋体" w:hAnsi="宋体" w:hint="eastAsia"/>
        </w:rPr>
        <w:t>课堂围绕与课程主题有关的问题提问；或者根据内容设置讨论话题，组织学生展开自由讨论，教师点评或组织学生点评。见各章教学方法描述。</w:t>
      </w:r>
    </w:p>
    <w:p w14:paraId="72170ECB"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章节相关的经典或特色发育案例介绍，分析或讨论相关机制等深层次知识。见各章教学方法描述。</w:t>
      </w:r>
    </w:p>
    <w:p w14:paraId="799F6925" w14:textId="77777777" w:rsidR="006103C8" w:rsidRDefault="003A02D5">
      <w:pPr>
        <w:widowControl/>
        <w:snapToGrid w:val="0"/>
        <w:spacing w:beforeLines="50" w:before="156" w:afterLines="50" w:after="156"/>
        <w:ind w:firstLineChars="134" w:firstLine="282"/>
        <w:jc w:val="left"/>
        <w:rPr>
          <w:rFonts w:ascii="Times New Roman" w:eastAsia="宋体" w:hAnsi="Times New Roman" w:cs="Times New Roman"/>
          <w:szCs w:val="21"/>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）任务驱动法：</w:t>
      </w:r>
      <w:r>
        <w:rPr>
          <w:rFonts w:ascii="宋体" w:eastAsia="宋体" w:hAnsi="宋体" w:hint="eastAsia"/>
          <w:szCs w:val="21"/>
        </w:rPr>
        <w:t>围绕讲解的知识点，指定教材中内容任务，整理和组织材料，或者完成研究设计等。</w:t>
      </w:r>
    </w:p>
    <w:p w14:paraId="7391A3C1" w14:textId="77777777" w:rsidR="006103C8" w:rsidRDefault="003A02D5">
      <w:pPr>
        <w:widowControl/>
        <w:snapToGrid w:val="0"/>
        <w:spacing w:beforeLines="50" w:before="156" w:afterLines="50" w:after="156"/>
        <w:ind w:firstLineChars="134" w:firstLine="282"/>
        <w:jc w:val="left"/>
        <w:rPr>
          <w:rFonts w:ascii="宋体" w:eastAsia="宋体" w:hAnsi="宋体"/>
          <w:szCs w:val="21"/>
        </w:rPr>
      </w:pPr>
      <w:r>
        <w:rPr>
          <w:rFonts w:ascii="宋体" w:eastAsia="宋体" w:hAnsi="宋体"/>
          <w:b/>
          <w:szCs w:val="21"/>
        </w:rPr>
        <w:t>（</w:t>
      </w: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自主学习法：</w:t>
      </w:r>
      <w:r>
        <w:rPr>
          <w:rFonts w:ascii="宋体" w:eastAsia="宋体" w:hAnsi="宋体" w:hint="eastAsia"/>
          <w:szCs w:val="21"/>
        </w:rPr>
        <w:t>针对教材中出现的与前设基础课和专业核心课程有一定重复性的知识或内容，布置学生进行回顾性自主学习。</w:t>
      </w:r>
    </w:p>
    <w:p w14:paraId="354411EF" w14:textId="77777777" w:rsidR="006103C8" w:rsidRDefault="003A02D5">
      <w:pPr>
        <w:widowControl/>
        <w:snapToGrid w:val="0"/>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F70CA2E" w14:textId="77777777" w:rsidR="006103C8" w:rsidRDefault="003A02D5">
      <w:pPr>
        <w:widowControl/>
        <w:snapToGrid w:val="0"/>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508FDB5" w14:textId="77777777" w:rsidR="006103C8" w:rsidRDefault="003A02D5">
      <w:pPr>
        <w:widowControl/>
        <w:snapToGrid w:val="0"/>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3765"/>
      </w:tblGrid>
      <w:tr w:rsidR="006103C8" w14:paraId="4D22B3FD" w14:textId="77777777">
        <w:trPr>
          <w:trHeight w:val="567"/>
          <w:jc w:val="center"/>
        </w:trPr>
        <w:tc>
          <w:tcPr>
            <w:tcW w:w="1271" w:type="dxa"/>
            <w:vAlign w:val="center"/>
          </w:tcPr>
          <w:p w14:paraId="74F9EF07" w14:textId="77777777" w:rsidR="006103C8" w:rsidRDefault="003A02D5">
            <w:pPr>
              <w:pStyle w:val="a3"/>
              <w:spacing w:beforeLines="50" w:before="156" w:afterLines="50" w:after="156"/>
              <w:jc w:val="center"/>
              <w:rPr>
                <w:rFonts w:hAnsi="宋体"/>
                <w:b/>
              </w:rPr>
            </w:pPr>
            <w:r>
              <w:rPr>
                <w:rFonts w:hAnsi="宋体" w:hint="eastAsia"/>
                <w:b/>
              </w:rPr>
              <w:t>课程目标</w:t>
            </w:r>
          </w:p>
        </w:tc>
        <w:tc>
          <w:tcPr>
            <w:tcW w:w="3260" w:type="dxa"/>
            <w:vAlign w:val="center"/>
          </w:tcPr>
          <w:p w14:paraId="3353DD80" w14:textId="77777777" w:rsidR="006103C8" w:rsidRDefault="003A02D5">
            <w:pPr>
              <w:pStyle w:val="a3"/>
              <w:spacing w:beforeLines="50" w:before="156" w:afterLines="50" w:after="156"/>
              <w:jc w:val="center"/>
              <w:rPr>
                <w:rFonts w:hAnsi="宋体"/>
                <w:b/>
              </w:rPr>
            </w:pPr>
            <w:r>
              <w:rPr>
                <w:rFonts w:hAnsi="宋体" w:hint="eastAsia"/>
                <w:b/>
              </w:rPr>
              <w:t>考核要点</w:t>
            </w:r>
          </w:p>
        </w:tc>
        <w:tc>
          <w:tcPr>
            <w:tcW w:w="3765" w:type="dxa"/>
            <w:vAlign w:val="center"/>
          </w:tcPr>
          <w:p w14:paraId="33653804" w14:textId="77777777" w:rsidR="006103C8" w:rsidRDefault="003A02D5">
            <w:pPr>
              <w:pStyle w:val="a3"/>
              <w:spacing w:beforeLines="50" w:before="156" w:afterLines="50" w:after="156"/>
              <w:jc w:val="center"/>
              <w:rPr>
                <w:rFonts w:hAnsi="宋体"/>
                <w:b/>
              </w:rPr>
            </w:pPr>
            <w:r>
              <w:rPr>
                <w:rFonts w:hAnsi="宋体" w:hint="eastAsia"/>
                <w:b/>
              </w:rPr>
              <w:t>考核方式</w:t>
            </w:r>
          </w:p>
        </w:tc>
      </w:tr>
      <w:tr w:rsidR="006103C8" w14:paraId="75ABBB77" w14:textId="77777777">
        <w:trPr>
          <w:trHeight w:val="567"/>
          <w:jc w:val="center"/>
        </w:trPr>
        <w:tc>
          <w:tcPr>
            <w:tcW w:w="1271" w:type="dxa"/>
            <w:vAlign w:val="center"/>
          </w:tcPr>
          <w:p w14:paraId="475FD623" w14:textId="77777777" w:rsidR="006103C8" w:rsidRDefault="003A02D5">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3260" w:type="dxa"/>
          </w:tcPr>
          <w:p w14:paraId="42A6E5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 xml:space="preserve">.1 </w:t>
            </w:r>
            <w:r>
              <w:rPr>
                <w:rFonts w:hAnsi="宋体"/>
              </w:rPr>
              <w:t>核心知识点的理解和掌握程度；</w:t>
            </w:r>
          </w:p>
          <w:p w14:paraId="17C95D02" w14:textId="77777777" w:rsidR="006103C8" w:rsidRDefault="003A02D5">
            <w:pPr>
              <w:pStyle w:val="a3"/>
              <w:snapToGrid w:val="0"/>
              <w:spacing w:beforeLines="50" w:before="156" w:afterLines="50" w:after="156"/>
              <w:rPr>
                <w:rFonts w:hAnsi="宋体"/>
              </w:rPr>
            </w:pPr>
            <w:r>
              <w:rPr>
                <w:rFonts w:hAnsi="宋体"/>
              </w:rPr>
              <w:t>1.2</w:t>
            </w:r>
            <w:r>
              <w:rPr>
                <w:rFonts w:hAnsi="宋体"/>
              </w:rPr>
              <w:t>学生是否锻炼了发现问题、组织内容、交流展示的能力；</w:t>
            </w:r>
          </w:p>
          <w:p w14:paraId="2301D02C" w14:textId="77777777" w:rsidR="006103C8" w:rsidRDefault="003A02D5">
            <w:pPr>
              <w:pStyle w:val="a3"/>
              <w:snapToGrid w:val="0"/>
              <w:spacing w:before="50" w:after="50"/>
              <w:rPr>
                <w:rFonts w:hAnsi="宋体"/>
              </w:rPr>
            </w:pPr>
            <w:r>
              <w:rPr>
                <w:rFonts w:hAnsi="宋体" w:hint="eastAsia"/>
              </w:rPr>
              <w:t>1</w:t>
            </w:r>
            <w:r>
              <w:rPr>
                <w:rFonts w:hAnsi="宋体"/>
              </w:rPr>
              <w:t>.3</w:t>
            </w:r>
            <w:r>
              <w:rPr>
                <w:rFonts w:hAnsi="宋体"/>
              </w:rPr>
              <w:t>学生是否学会了主动学习、批判</w:t>
            </w:r>
            <w:proofErr w:type="gramStart"/>
            <w:r>
              <w:rPr>
                <w:rFonts w:hAnsi="宋体"/>
              </w:rPr>
              <w:t>式接受</w:t>
            </w:r>
            <w:proofErr w:type="gramEnd"/>
            <w:r>
              <w:rPr>
                <w:rFonts w:hAnsi="宋体"/>
              </w:rPr>
              <w:t>知识，追求新观点、新见解和新视角，评价学生在克服被动式听课、被动式思维等方面的能力提升。</w:t>
            </w:r>
          </w:p>
        </w:tc>
        <w:tc>
          <w:tcPr>
            <w:tcW w:w="3765" w:type="dxa"/>
          </w:tcPr>
          <w:p w14:paraId="179BF58A"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 xml:space="preserve">.1 </w:t>
            </w:r>
            <w:r>
              <w:rPr>
                <w:rFonts w:hAnsi="宋体"/>
              </w:rPr>
              <w:t>期末考核和课堂提问。</w:t>
            </w:r>
          </w:p>
          <w:p w14:paraId="5527628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.2</w:t>
            </w:r>
            <w:r>
              <w:rPr>
                <w:rFonts w:hAnsi="宋体" w:hint="eastAsia"/>
              </w:rPr>
              <w:t>表现性评价</w:t>
            </w:r>
            <w:r>
              <w:rPr>
                <w:rFonts w:hAnsi="宋体"/>
              </w:rPr>
              <w:t>。</w:t>
            </w:r>
            <w:r>
              <w:rPr>
                <w:rFonts w:hAnsi="宋体" w:hint="eastAsia"/>
              </w:rPr>
              <w:t>考核课堂表现，标准不是一把尺子</w:t>
            </w:r>
            <w:proofErr w:type="gramStart"/>
            <w:r>
              <w:rPr>
                <w:rFonts w:hAnsi="宋体" w:hint="eastAsia"/>
              </w:rPr>
              <w:t>量所有</w:t>
            </w:r>
            <w:proofErr w:type="gramEnd"/>
            <w:r>
              <w:rPr>
                <w:rFonts w:hAnsi="宋体" w:hint="eastAsia"/>
              </w:rPr>
              <w:t>学生，而是记录每个学生的进步成绩，并且允许学生由于个性而存在的差异，进步的重点有所差异。学生最薄弱的方面进步大</w:t>
            </w:r>
            <w:proofErr w:type="gramStart"/>
            <w:r>
              <w:rPr>
                <w:rFonts w:hAnsi="宋体" w:hint="eastAsia"/>
              </w:rPr>
              <w:t>则成绩</w:t>
            </w:r>
            <w:proofErr w:type="gramEnd"/>
            <w:r>
              <w:rPr>
                <w:rFonts w:hAnsi="宋体" w:hint="eastAsia"/>
              </w:rPr>
              <w:t>高，特色明显</w:t>
            </w:r>
            <w:proofErr w:type="gramStart"/>
            <w:r>
              <w:rPr>
                <w:rFonts w:hAnsi="宋体" w:hint="eastAsia"/>
              </w:rPr>
              <w:t>则成绩</w:t>
            </w:r>
            <w:proofErr w:type="gramEnd"/>
            <w:r>
              <w:rPr>
                <w:rFonts w:hAnsi="宋体" w:hint="eastAsia"/>
              </w:rPr>
              <w:t>越高。</w:t>
            </w:r>
          </w:p>
          <w:p w14:paraId="62FBEC79" w14:textId="77777777" w:rsidR="006103C8" w:rsidRDefault="006103C8">
            <w:pPr>
              <w:pStyle w:val="a3"/>
              <w:snapToGrid w:val="0"/>
              <w:spacing w:beforeLines="50" w:before="156" w:afterLines="50" w:after="156"/>
              <w:rPr>
                <w:rFonts w:hAnsi="宋体"/>
                <w:b/>
              </w:rPr>
            </w:pPr>
          </w:p>
        </w:tc>
      </w:tr>
      <w:tr w:rsidR="006103C8" w14:paraId="256DDB1E" w14:textId="77777777">
        <w:trPr>
          <w:trHeight w:val="567"/>
          <w:jc w:val="center"/>
        </w:trPr>
        <w:tc>
          <w:tcPr>
            <w:tcW w:w="1271" w:type="dxa"/>
            <w:vAlign w:val="center"/>
          </w:tcPr>
          <w:p w14:paraId="5843B871" w14:textId="77777777" w:rsidR="006103C8" w:rsidRDefault="003A02D5">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3260" w:type="dxa"/>
          </w:tcPr>
          <w:p w14:paraId="3907BC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学生是否锻炼了发现问题、组织内容、交流展示的能力；</w:t>
            </w:r>
          </w:p>
          <w:p w14:paraId="78E16C63" w14:textId="77777777" w:rsidR="006103C8" w:rsidRDefault="003A02D5">
            <w:pPr>
              <w:pStyle w:val="a3"/>
              <w:snapToGrid w:val="0"/>
              <w:spacing w:before="50" w:after="50"/>
              <w:rPr>
                <w:rFonts w:hAnsi="宋体" w:cs="宋体"/>
                <w:bCs/>
                <w:szCs w:val="21"/>
              </w:rPr>
            </w:pPr>
            <w:r>
              <w:rPr>
                <w:rFonts w:hAnsi="宋体" w:hint="eastAsia"/>
              </w:rPr>
              <w:t>1</w:t>
            </w:r>
            <w:r>
              <w:rPr>
                <w:rFonts w:hAnsi="宋体"/>
              </w:rPr>
              <w:t>.2</w:t>
            </w:r>
            <w:r>
              <w:rPr>
                <w:rFonts w:hAnsi="宋体"/>
              </w:rPr>
              <w:t>学生在</w:t>
            </w:r>
            <w:r>
              <w:rPr>
                <w:rFonts w:hAnsi="宋体" w:cs="宋体" w:hint="eastAsia"/>
                <w:bCs/>
                <w:szCs w:val="21"/>
              </w:rPr>
              <w:t>小组辩论、合作讨论等学习过程中，表现出的合作意识、</w:t>
            </w:r>
            <w:r>
              <w:rPr>
                <w:rFonts w:hAnsi="宋体" w:cs="宋体" w:hint="eastAsia"/>
              </w:rPr>
              <w:t>思辨能力和批判性思维</w:t>
            </w:r>
            <w:r>
              <w:rPr>
                <w:rFonts w:hAnsi="宋体" w:cs="宋体" w:hint="eastAsia"/>
                <w:bCs/>
                <w:szCs w:val="21"/>
              </w:rPr>
              <w:t>。</w:t>
            </w:r>
          </w:p>
          <w:p w14:paraId="7B081336" w14:textId="77777777" w:rsidR="006103C8" w:rsidRDefault="003A02D5">
            <w:pPr>
              <w:pStyle w:val="a3"/>
              <w:snapToGrid w:val="0"/>
              <w:spacing w:before="50" w:after="50"/>
              <w:rPr>
                <w:rFonts w:hAnsi="宋体"/>
              </w:rPr>
            </w:pPr>
            <w:r>
              <w:rPr>
                <w:rFonts w:hAnsi="宋体" w:cs="宋体" w:hint="eastAsia"/>
                <w:bCs/>
                <w:szCs w:val="21"/>
              </w:rPr>
              <w:t>1</w:t>
            </w:r>
            <w:r>
              <w:rPr>
                <w:rFonts w:hAnsi="宋体" w:cs="宋体"/>
                <w:bCs/>
                <w:szCs w:val="21"/>
              </w:rPr>
              <w:t>.3</w:t>
            </w:r>
            <w:r>
              <w:rPr>
                <w:rFonts w:hAnsi="宋体" w:cs="宋体"/>
                <w:bCs/>
                <w:szCs w:val="21"/>
              </w:rPr>
              <w:t>作业完成率和作业完成水平。</w:t>
            </w:r>
          </w:p>
        </w:tc>
        <w:tc>
          <w:tcPr>
            <w:tcW w:w="3765" w:type="dxa"/>
          </w:tcPr>
          <w:p w14:paraId="7FD60B8E" w14:textId="77777777" w:rsidR="006103C8" w:rsidRDefault="003A02D5">
            <w:pPr>
              <w:pStyle w:val="a3"/>
              <w:snapToGrid w:val="0"/>
              <w:spacing w:beforeLines="50" w:before="156" w:afterLines="50" w:after="156"/>
              <w:rPr>
                <w:rFonts w:hAnsi="宋体"/>
              </w:rPr>
            </w:pPr>
            <w:r>
              <w:rPr>
                <w:rFonts w:hAnsi="宋体"/>
              </w:rPr>
              <w:t>1.1</w:t>
            </w:r>
            <w:r>
              <w:rPr>
                <w:rFonts w:hAnsi="宋体"/>
              </w:rPr>
              <w:t>课外作业。</w:t>
            </w:r>
          </w:p>
          <w:p w14:paraId="51863A0D" w14:textId="77777777" w:rsidR="006103C8" w:rsidRDefault="003A02D5">
            <w:pPr>
              <w:pStyle w:val="a3"/>
              <w:snapToGrid w:val="0"/>
              <w:spacing w:beforeLines="50" w:before="156" w:afterLines="50" w:after="156"/>
              <w:rPr>
                <w:rFonts w:hAnsi="宋体"/>
                <w:b/>
              </w:rPr>
            </w:pPr>
            <w:r>
              <w:rPr>
                <w:rFonts w:hAnsi="宋体" w:hint="eastAsia"/>
              </w:rPr>
              <w:t>1</w:t>
            </w:r>
            <w:r>
              <w:rPr>
                <w:rFonts w:hAnsi="宋体"/>
              </w:rPr>
              <w:t>.2</w:t>
            </w:r>
            <w:r>
              <w:rPr>
                <w:rFonts w:hAnsi="宋体" w:hint="eastAsia"/>
              </w:rPr>
              <w:t>表现性评价</w:t>
            </w:r>
            <w:r>
              <w:rPr>
                <w:rFonts w:hAnsi="宋体"/>
              </w:rPr>
              <w:t>。</w:t>
            </w:r>
            <w:r>
              <w:rPr>
                <w:rFonts w:hAnsi="宋体" w:hint="eastAsia"/>
              </w:rPr>
              <w:t>考核课堂表现，标准不是一把尺子</w:t>
            </w:r>
            <w:proofErr w:type="gramStart"/>
            <w:r>
              <w:rPr>
                <w:rFonts w:hAnsi="宋体" w:hint="eastAsia"/>
              </w:rPr>
              <w:t>量所有</w:t>
            </w:r>
            <w:proofErr w:type="gramEnd"/>
            <w:r>
              <w:rPr>
                <w:rFonts w:hAnsi="宋体" w:hint="eastAsia"/>
              </w:rPr>
              <w:t>学生，而是记录每个学生的进步成绩，并且允许学生由于个性而存在的差异，</w:t>
            </w:r>
            <w:r>
              <w:rPr>
                <w:rFonts w:hAnsi="宋体" w:hint="eastAsia"/>
              </w:rPr>
              <w:t>进步的重点有所差异。学生最薄弱的方面进步大</w:t>
            </w:r>
            <w:proofErr w:type="gramStart"/>
            <w:r>
              <w:rPr>
                <w:rFonts w:hAnsi="宋体" w:hint="eastAsia"/>
              </w:rPr>
              <w:t>则成绩</w:t>
            </w:r>
            <w:proofErr w:type="gramEnd"/>
            <w:r>
              <w:rPr>
                <w:rFonts w:hAnsi="宋体" w:hint="eastAsia"/>
              </w:rPr>
              <w:t>高，特色明显</w:t>
            </w:r>
            <w:proofErr w:type="gramStart"/>
            <w:r>
              <w:rPr>
                <w:rFonts w:hAnsi="宋体" w:hint="eastAsia"/>
              </w:rPr>
              <w:t>则成绩</w:t>
            </w:r>
            <w:proofErr w:type="gramEnd"/>
            <w:r>
              <w:rPr>
                <w:rFonts w:hAnsi="宋体" w:hint="eastAsia"/>
              </w:rPr>
              <w:t>越高。</w:t>
            </w:r>
          </w:p>
        </w:tc>
      </w:tr>
    </w:tbl>
    <w:p w14:paraId="027BD1F0" w14:textId="77777777" w:rsidR="006103C8" w:rsidRDefault="003A02D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hint="eastAsia"/>
          <w:b/>
          <w:sz w:val="24"/>
          <w:szCs w:val="24"/>
        </w:rPr>
        <w:t xml:space="preserve"> </w:t>
      </w:r>
    </w:p>
    <w:p w14:paraId="633194F7" w14:textId="77777777" w:rsidR="006103C8" w:rsidRDefault="003A02D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002CAB18" w14:textId="77777777" w:rsidR="006103C8" w:rsidRDefault="003A02D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50</w:t>
      </w:r>
      <w:r>
        <w:rPr>
          <w:rFonts w:ascii="宋体" w:eastAsia="宋体" w:hAnsi="宋体"/>
        </w:rPr>
        <w:t>%</w:t>
      </w:r>
      <w:r>
        <w:rPr>
          <w:rFonts w:ascii="宋体" w:eastAsia="宋体" w:hAnsi="宋体" w:hint="eastAsia"/>
        </w:rPr>
        <w:t>，期末考试</w:t>
      </w:r>
      <w:r>
        <w:rPr>
          <w:rFonts w:ascii="宋体" w:eastAsia="宋体" w:hAnsi="宋体" w:hint="eastAsia"/>
        </w:rPr>
        <w:t>5</w:t>
      </w:r>
      <w:r>
        <w:rPr>
          <w:rFonts w:ascii="宋体" w:eastAsia="宋体" w:hAnsi="宋体"/>
        </w:rPr>
        <w:t>0%</w:t>
      </w:r>
      <w:r>
        <w:rPr>
          <w:rFonts w:ascii="宋体" w:eastAsia="宋体" w:hAnsi="宋体" w:hint="eastAsia"/>
        </w:rPr>
        <w:t>。</w:t>
      </w:r>
    </w:p>
    <w:p w14:paraId="4CAC564A" w14:textId="77777777" w:rsidR="006103C8" w:rsidRDefault="003A02D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0A7732EC" w14:textId="77777777" w:rsidR="006103C8" w:rsidRDefault="003A02D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904"/>
        <w:gridCol w:w="1195"/>
        <w:gridCol w:w="1195"/>
        <w:gridCol w:w="2768"/>
      </w:tblGrid>
      <w:tr w:rsidR="006103C8" w14:paraId="35A00AEF" w14:textId="77777777">
        <w:trPr>
          <w:jc w:val="center"/>
        </w:trPr>
        <w:tc>
          <w:tcPr>
            <w:tcW w:w="1347" w:type="pct"/>
            <w:tcBorders>
              <w:tl2br w:val="single" w:sz="4" w:space="0" w:color="auto"/>
            </w:tcBorders>
            <w:shd w:val="clear" w:color="auto" w:fill="auto"/>
            <w:vAlign w:val="center"/>
          </w:tcPr>
          <w:p w14:paraId="19E94807" w14:textId="77777777" w:rsidR="006103C8" w:rsidRDefault="003A02D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57CE22D" w14:textId="77777777" w:rsidR="006103C8" w:rsidRDefault="003A02D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545" w:type="pct"/>
            <w:shd w:val="clear" w:color="auto" w:fill="auto"/>
            <w:vAlign w:val="center"/>
          </w:tcPr>
          <w:p w14:paraId="42FDA393"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720" w:type="pct"/>
            <w:shd w:val="clear" w:color="auto" w:fill="auto"/>
            <w:vAlign w:val="center"/>
          </w:tcPr>
          <w:p w14:paraId="17792655"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720" w:type="pct"/>
            <w:vAlign w:val="center"/>
          </w:tcPr>
          <w:p w14:paraId="1DC03BE2"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1668" w:type="pct"/>
            <w:shd w:val="clear" w:color="auto" w:fill="auto"/>
            <w:vAlign w:val="center"/>
          </w:tcPr>
          <w:p w14:paraId="72C61EFF"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103C8" w14:paraId="67382453" w14:textId="77777777">
        <w:trPr>
          <w:trHeight w:val="620"/>
          <w:jc w:val="center"/>
        </w:trPr>
        <w:tc>
          <w:tcPr>
            <w:tcW w:w="1347" w:type="pct"/>
            <w:shd w:val="clear" w:color="auto" w:fill="auto"/>
            <w:vAlign w:val="center"/>
          </w:tcPr>
          <w:p w14:paraId="57D034AF"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545" w:type="pct"/>
            <w:shd w:val="clear" w:color="auto" w:fill="auto"/>
            <w:vAlign w:val="center"/>
          </w:tcPr>
          <w:p w14:paraId="698210D0"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0%</w:t>
            </w:r>
          </w:p>
        </w:tc>
        <w:tc>
          <w:tcPr>
            <w:tcW w:w="720" w:type="pct"/>
            <w:shd w:val="clear" w:color="auto" w:fill="auto"/>
            <w:vAlign w:val="center"/>
          </w:tcPr>
          <w:p w14:paraId="3DCBE357"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0</w:t>
            </w:r>
            <w:r>
              <w:rPr>
                <w:rFonts w:ascii="宋体" w:eastAsia="宋体" w:hAnsi="宋体" w:hint="eastAsia"/>
                <w:kern w:val="0"/>
                <w:szCs w:val="21"/>
              </w:rPr>
              <w:t>%</w:t>
            </w:r>
          </w:p>
        </w:tc>
        <w:tc>
          <w:tcPr>
            <w:tcW w:w="720" w:type="pct"/>
            <w:vAlign w:val="center"/>
          </w:tcPr>
          <w:p w14:paraId="51DD4A09"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hint="eastAsia"/>
                <w:kern w:val="0"/>
                <w:szCs w:val="21"/>
              </w:rPr>
              <w:t>0%</w:t>
            </w:r>
          </w:p>
        </w:tc>
        <w:tc>
          <w:tcPr>
            <w:tcW w:w="1668" w:type="pct"/>
            <w:vMerge w:val="restart"/>
            <w:shd w:val="clear" w:color="auto" w:fill="auto"/>
            <w:vAlign w:val="center"/>
          </w:tcPr>
          <w:p w14:paraId="316E1569" w14:textId="77777777" w:rsidR="006103C8" w:rsidRDefault="003A02D5">
            <w:pPr>
              <w:snapToGrid w:val="0"/>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={0.6</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+0.0</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分目标总分</w:t>
            </w:r>
            <w:r>
              <w:rPr>
                <w:rFonts w:ascii="宋体" w:eastAsia="宋体" w:hAnsi="宋体" w:hint="eastAsia"/>
                <w:kern w:val="0"/>
                <w:szCs w:val="21"/>
              </w:rPr>
              <w:t>。）</w:t>
            </w:r>
          </w:p>
        </w:tc>
      </w:tr>
      <w:tr w:rsidR="006103C8" w14:paraId="16BA4066" w14:textId="77777777">
        <w:trPr>
          <w:trHeight w:val="679"/>
          <w:jc w:val="center"/>
        </w:trPr>
        <w:tc>
          <w:tcPr>
            <w:tcW w:w="1347" w:type="pct"/>
            <w:shd w:val="clear" w:color="auto" w:fill="auto"/>
            <w:vAlign w:val="center"/>
          </w:tcPr>
          <w:p w14:paraId="6FD6736B"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545" w:type="pct"/>
            <w:shd w:val="clear" w:color="auto" w:fill="auto"/>
            <w:vAlign w:val="center"/>
          </w:tcPr>
          <w:p w14:paraId="1116C5F6"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720" w:type="pct"/>
            <w:shd w:val="clear" w:color="auto" w:fill="auto"/>
            <w:vAlign w:val="center"/>
          </w:tcPr>
          <w:p w14:paraId="31B52C09"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0</w:t>
            </w:r>
            <w:r>
              <w:rPr>
                <w:rFonts w:ascii="宋体" w:eastAsia="宋体" w:hAnsi="宋体" w:hint="eastAsia"/>
                <w:kern w:val="0"/>
                <w:szCs w:val="21"/>
              </w:rPr>
              <w:t>%</w:t>
            </w:r>
          </w:p>
        </w:tc>
        <w:tc>
          <w:tcPr>
            <w:tcW w:w="720" w:type="pct"/>
            <w:vAlign w:val="center"/>
          </w:tcPr>
          <w:p w14:paraId="0E671B8E"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hint="eastAsia"/>
                <w:kern w:val="0"/>
                <w:szCs w:val="21"/>
              </w:rPr>
              <w:t>0%</w:t>
            </w:r>
          </w:p>
        </w:tc>
        <w:tc>
          <w:tcPr>
            <w:tcW w:w="1668" w:type="pct"/>
            <w:vMerge/>
            <w:shd w:val="clear" w:color="auto" w:fill="auto"/>
            <w:vAlign w:val="center"/>
          </w:tcPr>
          <w:p w14:paraId="2498D89A" w14:textId="77777777" w:rsidR="006103C8" w:rsidRDefault="006103C8">
            <w:pPr>
              <w:spacing w:beforeLines="50" w:before="156" w:afterLines="50" w:after="156"/>
              <w:rPr>
                <w:rFonts w:ascii="宋体" w:eastAsia="宋体" w:hAnsi="宋体"/>
                <w:kern w:val="0"/>
                <w:szCs w:val="21"/>
              </w:rPr>
            </w:pPr>
          </w:p>
        </w:tc>
      </w:tr>
    </w:tbl>
    <w:p w14:paraId="0245423B" w14:textId="77777777" w:rsidR="006103C8" w:rsidRDefault="003A02D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588"/>
        <w:gridCol w:w="1588"/>
        <w:gridCol w:w="1475"/>
        <w:gridCol w:w="1424"/>
        <w:gridCol w:w="1427"/>
      </w:tblGrid>
      <w:tr w:rsidR="006103C8" w14:paraId="6667DA11" w14:textId="77777777">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360A754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A40EB59"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379190AC"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103C8" w14:paraId="363D3355" w14:textId="77777777">
        <w:trPr>
          <w:trHeight w:val="454"/>
          <w:tblHeader/>
          <w:jc w:val="center"/>
        </w:trPr>
        <w:tc>
          <w:tcPr>
            <w:tcW w:w="479" w:type="pct"/>
            <w:vMerge/>
            <w:tcBorders>
              <w:left w:val="single" w:sz="4" w:space="0" w:color="auto"/>
              <w:right w:val="single" w:sz="4" w:space="0" w:color="auto"/>
            </w:tcBorders>
            <w:vAlign w:val="center"/>
          </w:tcPr>
          <w:p w14:paraId="3925B83C"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7719AB83"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2ED5B90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58270AF1"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6CDBA68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860" w:type="pct"/>
            <w:tcBorders>
              <w:top w:val="single" w:sz="4" w:space="0" w:color="auto"/>
              <w:left w:val="single" w:sz="4" w:space="0" w:color="auto"/>
              <w:bottom w:val="single" w:sz="4" w:space="0" w:color="auto"/>
              <w:right w:val="single" w:sz="4" w:space="0" w:color="auto"/>
            </w:tcBorders>
            <w:vAlign w:val="center"/>
          </w:tcPr>
          <w:p w14:paraId="418F6C5E"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103C8" w14:paraId="6D080E9F" w14:textId="77777777">
        <w:trPr>
          <w:trHeight w:val="449"/>
          <w:tblHeader/>
          <w:jc w:val="center"/>
        </w:trPr>
        <w:tc>
          <w:tcPr>
            <w:tcW w:w="479" w:type="pct"/>
            <w:vMerge/>
            <w:tcBorders>
              <w:left w:val="single" w:sz="4" w:space="0" w:color="auto"/>
              <w:right w:val="single" w:sz="4" w:space="0" w:color="auto"/>
            </w:tcBorders>
            <w:vAlign w:val="center"/>
          </w:tcPr>
          <w:p w14:paraId="64E70DE8"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0F0D68CF"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107A736A"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44AA7569"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5A67170F"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860" w:type="pct"/>
            <w:tcBorders>
              <w:top w:val="single" w:sz="4" w:space="0" w:color="auto"/>
              <w:left w:val="single" w:sz="4" w:space="0" w:color="auto"/>
              <w:bottom w:val="single" w:sz="4" w:space="0" w:color="auto"/>
              <w:right w:val="single" w:sz="4" w:space="0" w:color="auto"/>
            </w:tcBorders>
            <w:vAlign w:val="center"/>
          </w:tcPr>
          <w:p w14:paraId="3FEC7317"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103C8" w14:paraId="4A35FCD8" w14:textId="77777777">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6925DEB9"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6CDE4DE0"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275E6F15"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6CD830E6"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3CD8D134"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860" w:type="pct"/>
            <w:tcBorders>
              <w:top w:val="single" w:sz="4" w:space="0" w:color="auto"/>
              <w:left w:val="single" w:sz="4" w:space="0" w:color="auto"/>
              <w:bottom w:val="single" w:sz="4" w:space="0" w:color="auto"/>
              <w:right w:val="single" w:sz="4" w:space="0" w:color="auto"/>
            </w:tcBorders>
            <w:vAlign w:val="center"/>
          </w:tcPr>
          <w:p w14:paraId="64DE9639"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103C8" w14:paraId="538207E7" w14:textId="77777777">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1431D924"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63F86B"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957" w:type="pct"/>
            <w:tcBorders>
              <w:top w:val="single" w:sz="4" w:space="0" w:color="auto"/>
              <w:left w:val="single" w:sz="4" w:space="0" w:color="auto"/>
              <w:bottom w:val="single" w:sz="4" w:space="0" w:color="auto"/>
              <w:right w:val="single" w:sz="4" w:space="0" w:color="auto"/>
            </w:tcBorders>
          </w:tcPr>
          <w:p w14:paraId="313DFF82"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核心知识点的理解和掌握准确、系统性强；</w:t>
            </w:r>
          </w:p>
          <w:p w14:paraId="327FE183" w14:textId="77777777" w:rsidR="006103C8" w:rsidRDefault="003A02D5">
            <w:pPr>
              <w:pStyle w:val="a3"/>
              <w:snapToGrid w:val="0"/>
              <w:spacing w:before="50" w:after="50"/>
              <w:rPr>
                <w:rFonts w:hAnsi="宋体"/>
              </w:rPr>
            </w:pPr>
            <w:r>
              <w:rPr>
                <w:rFonts w:hAnsi="宋体"/>
              </w:rPr>
              <w:t>1.2</w:t>
            </w:r>
            <w:r>
              <w:rPr>
                <w:rFonts w:hAnsi="宋体"/>
              </w:rPr>
              <w:t>发现问题、组织内容、交流展示的能力突出或提升非常显著；</w:t>
            </w:r>
          </w:p>
          <w:p w14:paraId="6EFB3CC6" w14:textId="77777777" w:rsidR="006103C8" w:rsidRDefault="003A02D5">
            <w:pPr>
              <w:pStyle w:val="a3"/>
              <w:snapToGrid w:val="0"/>
              <w:spacing w:before="50" w:after="50"/>
              <w:rPr>
                <w:rFonts w:hAnsi="宋体"/>
              </w:rPr>
            </w:pPr>
            <w:r>
              <w:rPr>
                <w:rFonts w:hAnsi="宋体"/>
              </w:rPr>
              <w:t>1.3</w:t>
            </w:r>
            <w:r>
              <w:rPr>
                <w:rFonts w:hAnsi="宋体"/>
              </w:rPr>
              <w:t>主动学习、批判</w:t>
            </w:r>
            <w:proofErr w:type="gramStart"/>
            <w:r>
              <w:rPr>
                <w:rFonts w:hAnsi="宋体"/>
              </w:rPr>
              <w:t>式接受</w:t>
            </w:r>
            <w:proofErr w:type="gramEnd"/>
            <w:r>
              <w:rPr>
                <w:rFonts w:hAnsi="宋体"/>
              </w:rPr>
              <w:t>知识，追求新观点、新见解和新视角能力突出，或者在克服被动式听课、被动式思维等方面的能力提升非常显著。</w:t>
            </w:r>
          </w:p>
        </w:tc>
        <w:tc>
          <w:tcPr>
            <w:tcW w:w="957" w:type="pct"/>
            <w:tcBorders>
              <w:top w:val="single" w:sz="4" w:space="0" w:color="auto"/>
              <w:left w:val="single" w:sz="4" w:space="0" w:color="auto"/>
              <w:bottom w:val="single" w:sz="4" w:space="0" w:color="auto"/>
              <w:right w:val="single" w:sz="4" w:space="0" w:color="auto"/>
            </w:tcBorders>
          </w:tcPr>
          <w:p w14:paraId="37575E22"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核心知识点的理解和掌握准确；</w:t>
            </w:r>
          </w:p>
          <w:p w14:paraId="2DC30EE7" w14:textId="77777777" w:rsidR="006103C8" w:rsidRDefault="003A02D5">
            <w:pPr>
              <w:pStyle w:val="a3"/>
              <w:snapToGrid w:val="0"/>
              <w:spacing w:before="50" w:after="50"/>
              <w:rPr>
                <w:rFonts w:hAnsi="宋体"/>
              </w:rPr>
            </w:pPr>
            <w:r>
              <w:rPr>
                <w:rFonts w:hAnsi="宋体" w:hint="eastAsia"/>
              </w:rPr>
              <w:t>1</w:t>
            </w:r>
            <w:r>
              <w:rPr>
                <w:rFonts w:hAnsi="宋体"/>
              </w:rPr>
              <w:t>.2</w:t>
            </w:r>
            <w:r>
              <w:rPr>
                <w:rFonts w:hAnsi="宋体"/>
              </w:rPr>
              <w:t>发现问题、组织内容、交流展示的能力比较突出或提升显著；</w:t>
            </w:r>
          </w:p>
          <w:p w14:paraId="2F1F7183" w14:textId="77777777" w:rsidR="006103C8" w:rsidRDefault="003A02D5">
            <w:pPr>
              <w:pStyle w:val="a3"/>
              <w:snapToGrid w:val="0"/>
              <w:spacing w:before="50" w:after="50"/>
              <w:rPr>
                <w:rFonts w:hAnsi="宋体"/>
              </w:rPr>
            </w:pPr>
            <w:r>
              <w:rPr>
                <w:rFonts w:hAnsi="宋体"/>
              </w:rPr>
              <w:t>1.3</w:t>
            </w:r>
            <w:r>
              <w:rPr>
                <w:rFonts w:hAnsi="宋体"/>
              </w:rPr>
              <w:t>主动学习、批判</w:t>
            </w:r>
            <w:proofErr w:type="gramStart"/>
            <w:r>
              <w:rPr>
                <w:rFonts w:hAnsi="宋体"/>
              </w:rPr>
              <w:t>式接受</w:t>
            </w:r>
            <w:proofErr w:type="gramEnd"/>
            <w:r>
              <w:rPr>
                <w:rFonts w:hAnsi="宋体"/>
              </w:rPr>
              <w:t>知识，追求新观点、新见解和新视角能力比较突出，或者在克服被动式听课、被动式思维等方面的能力提升显著。</w:t>
            </w:r>
          </w:p>
        </w:tc>
        <w:tc>
          <w:tcPr>
            <w:tcW w:w="889" w:type="pct"/>
            <w:tcBorders>
              <w:top w:val="single" w:sz="4" w:space="0" w:color="auto"/>
              <w:left w:val="single" w:sz="4" w:space="0" w:color="auto"/>
              <w:bottom w:val="single" w:sz="4" w:space="0" w:color="auto"/>
              <w:right w:val="single" w:sz="4" w:space="0" w:color="auto"/>
            </w:tcBorders>
          </w:tcPr>
          <w:p w14:paraId="64526DE7"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核心知识点的理解较好、掌握了</w:t>
            </w:r>
            <w:r>
              <w:rPr>
                <w:rFonts w:hAnsi="宋体" w:hint="eastAsia"/>
              </w:rPr>
              <w:t>7</w:t>
            </w:r>
            <w:r>
              <w:rPr>
                <w:rFonts w:hAnsi="宋体"/>
              </w:rPr>
              <w:t>5%</w:t>
            </w:r>
            <w:r>
              <w:rPr>
                <w:rFonts w:hAnsi="宋体"/>
              </w:rPr>
              <w:t>；</w:t>
            </w:r>
          </w:p>
          <w:p w14:paraId="494F236A" w14:textId="77777777" w:rsidR="006103C8" w:rsidRDefault="003A02D5">
            <w:pPr>
              <w:pStyle w:val="a3"/>
              <w:snapToGrid w:val="0"/>
              <w:spacing w:before="50" w:after="50"/>
              <w:rPr>
                <w:rFonts w:hAnsi="宋体"/>
              </w:rPr>
            </w:pPr>
            <w:r>
              <w:rPr>
                <w:rFonts w:hAnsi="宋体" w:hint="eastAsia"/>
              </w:rPr>
              <w:t>1</w:t>
            </w:r>
            <w:r>
              <w:rPr>
                <w:rFonts w:hAnsi="宋体"/>
              </w:rPr>
              <w:t>.2</w:t>
            </w:r>
            <w:r>
              <w:rPr>
                <w:rFonts w:hAnsi="宋体"/>
              </w:rPr>
              <w:t>发现问题、组织内容、交流展示的能力提升明显；</w:t>
            </w:r>
          </w:p>
          <w:p w14:paraId="7C0E73F1" w14:textId="77777777" w:rsidR="006103C8" w:rsidRDefault="003A02D5">
            <w:pPr>
              <w:pStyle w:val="a3"/>
              <w:snapToGrid w:val="0"/>
              <w:spacing w:before="50" w:after="50"/>
              <w:rPr>
                <w:rFonts w:hAnsi="宋体"/>
              </w:rPr>
            </w:pPr>
            <w:r>
              <w:rPr>
                <w:rFonts w:hAnsi="宋体"/>
              </w:rPr>
              <w:t>1.3</w:t>
            </w:r>
            <w:r>
              <w:rPr>
                <w:rFonts w:hAnsi="宋体"/>
              </w:rPr>
              <w:t>克服被动式听课、被动式思维等方面的能力提升明显。</w:t>
            </w:r>
          </w:p>
        </w:tc>
        <w:tc>
          <w:tcPr>
            <w:tcW w:w="858" w:type="pct"/>
            <w:tcBorders>
              <w:top w:val="single" w:sz="4" w:space="0" w:color="auto"/>
              <w:left w:val="single" w:sz="4" w:space="0" w:color="auto"/>
              <w:bottom w:val="single" w:sz="4" w:space="0" w:color="auto"/>
              <w:right w:val="single" w:sz="4" w:space="0" w:color="auto"/>
            </w:tcBorders>
          </w:tcPr>
          <w:p w14:paraId="5182EDF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核心知识点的理解一般、掌握了</w:t>
            </w:r>
            <w:r>
              <w:rPr>
                <w:rFonts w:hAnsi="宋体" w:hint="eastAsia"/>
              </w:rPr>
              <w:t>大</w:t>
            </w:r>
            <w:r>
              <w:rPr>
                <w:rFonts w:hAnsi="宋体"/>
              </w:rPr>
              <w:t>部分；</w:t>
            </w:r>
          </w:p>
          <w:p w14:paraId="26F02208" w14:textId="77777777" w:rsidR="006103C8" w:rsidRDefault="003A02D5">
            <w:pPr>
              <w:pStyle w:val="a3"/>
              <w:snapToGrid w:val="0"/>
              <w:spacing w:before="50" w:after="50"/>
              <w:rPr>
                <w:rFonts w:hAnsi="宋体"/>
              </w:rPr>
            </w:pPr>
            <w:r>
              <w:rPr>
                <w:rFonts w:hAnsi="宋体" w:hint="eastAsia"/>
              </w:rPr>
              <w:t>1</w:t>
            </w:r>
            <w:r>
              <w:rPr>
                <w:rFonts w:hAnsi="宋体"/>
              </w:rPr>
              <w:t>.2</w:t>
            </w:r>
            <w:r>
              <w:rPr>
                <w:rFonts w:hAnsi="宋体"/>
              </w:rPr>
              <w:t>发现问题、组织内容、交流展示的能力有提升；</w:t>
            </w:r>
          </w:p>
          <w:p w14:paraId="655645B3" w14:textId="77777777" w:rsidR="006103C8" w:rsidRDefault="003A02D5">
            <w:pPr>
              <w:pStyle w:val="a3"/>
              <w:snapToGrid w:val="0"/>
              <w:spacing w:before="50" w:after="50"/>
              <w:rPr>
                <w:rFonts w:hAnsi="宋体"/>
              </w:rPr>
            </w:pPr>
            <w:r>
              <w:rPr>
                <w:rFonts w:hAnsi="宋体"/>
              </w:rPr>
              <w:t>1.3</w:t>
            </w:r>
            <w:r>
              <w:rPr>
                <w:rFonts w:hAnsi="宋体"/>
              </w:rPr>
              <w:t>克服被动式听课、被动式思维等方面的能力有提升。</w:t>
            </w:r>
          </w:p>
        </w:tc>
        <w:tc>
          <w:tcPr>
            <w:tcW w:w="860" w:type="pct"/>
            <w:tcBorders>
              <w:top w:val="single" w:sz="4" w:space="0" w:color="auto"/>
              <w:left w:val="single" w:sz="4" w:space="0" w:color="auto"/>
              <w:bottom w:val="single" w:sz="4" w:space="0" w:color="auto"/>
              <w:right w:val="single" w:sz="4" w:space="0" w:color="auto"/>
            </w:tcBorders>
          </w:tcPr>
          <w:p w14:paraId="39BCD81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核心知识点的理解差、掌握了不足一半；</w:t>
            </w:r>
          </w:p>
          <w:p w14:paraId="1CBAD20F" w14:textId="77777777" w:rsidR="006103C8" w:rsidRDefault="003A02D5">
            <w:pPr>
              <w:pStyle w:val="a3"/>
              <w:snapToGrid w:val="0"/>
              <w:spacing w:before="50" w:after="50"/>
              <w:rPr>
                <w:rFonts w:hAnsi="宋体"/>
              </w:rPr>
            </w:pPr>
            <w:r>
              <w:rPr>
                <w:rFonts w:hAnsi="宋体" w:hint="eastAsia"/>
              </w:rPr>
              <w:t>1</w:t>
            </w:r>
            <w:r>
              <w:rPr>
                <w:rFonts w:hAnsi="宋体"/>
              </w:rPr>
              <w:t>.2</w:t>
            </w:r>
            <w:r>
              <w:rPr>
                <w:rFonts w:hAnsi="宋体"/>
              </w:rPr>
              <w:t>发现问题、组织内容、交流展示的能力</w:t>
            </w:r>
            <w:proofErr w:type="gramStart"/>
            <w:r>
              <w:rPr>
                <w:rFonts w:hAnsi="宋体"/>
              </w:rPr>
              <w:t>弱而且</w:t>
            </w:r>
            <w:proofErr w:type="gramEnd"/>
            <w:r>
              <w:rPr>
                <w:rFonts w:hAnsi="宋体"/>
              </w:rPr>
              <w:t>提升不明显；</w:t>
            </w:r>
          </w:p>
          <w:p w14:paraId="46194BE9" w14:textId="77777777" w:rsidR="006103C8" w:rsidRDefault="003A02D5">
            <w:pPr>
              <w:pStyle w:val="a3"/>
              <w:snapToGrid w:val="0"/>
              <w:spacing w:before="50" w:after="50"/>
              <w:rPr>
                <w:rFonts w:hAnsi="宋体"/>
              </w:rPr>
            </w:pPr>
            <w:r>
              <w:rPr>
                <w:rFonts w:hAnsi="宋体"/>
              </w:rPr>
              <w:t>1.3</w:t>
            </w:r>
            <w:r>
              <w:rPr>
                <w:rFonts w:hAnsi="宋体"/>
              </w:rPr>
              <w:t>主动学习、批判</w:t>
            </w:r>
            <w:proofErr w:type="gramStart"/>
            <w:r>
              <w:rPr>
                <w:rFonts w:hAnsi="宋体"/>
              </w:rPr>
              <w:t>式接受</w:t>
            </w:r>
            <w:proofErr w:type="gramEnd"/>
            <w:r>
              <w:rPr>
                <w:rFonts w:hAnsi="宋体"/>
              </w:rPr>
              <w:t>知识，追求新观点、新见解和新视角能力弱，而且克服被动式听课、被动式思维等方面的能力不明</w:t>
            </w:r>
            <w:r>
              <w:rPr>
                <w:rFonts w:hAnsi="宋体"/>
              </w:rPr>
              <w:lastRenderedPageBreak/>
              <w:t>显。</w:t>
            </w:r>
          </w:p>
        </w:tc>
      </w:tr>
      <w:tr w:rsidR="006103C8" w14:paraId="56721254" w14:textId="77777777">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3E761617"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33A3CC8"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957" w:type="pct"/>
            <w:tcBorders>
              <w:top w:val="single" w:sz="4" w:space="0" w:color="auto"/>
              <w:left w:val="single" w:sz="4" w:space="0" w:color="auto"/>
              <w:bottom w:val="single" w:sz="4" w:space="0" w:color="auto"/>
              <w:right w:val="single" w:sz="4" w:space="0" w:color="auto"/>
            </w:tcBorders>
          </w:tcPr>
          <w:p w14:paraId="7C3AA8FB"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发现问题、组织内容、交流展示的能力突出或提升非常显著；</w:t>
            </w:r>
          </w:p>
          <w:p w14:paraId="7171ADB3"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思辨能力和批判性思维能力突出或提升非常显著；</w:t>
            </w:r>
          </w:p>
          <w:p w14:paraId="3121AA6F"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 xml:space="preserve">.3 </w:t>
            </w:r>
            <w:r>
              <w:rPr>
                <w:rFonts w:hAnsi="宋体" w:cs="宋体"/>
                <w:bCs/>
                <w:szCs w:val="21"/>
              </w:rPr>
              <w:t>作业完成率超过</w:t>
            </w:r>
            <w:r>
              <w:rPr>
                <w:rFonts w:hAnsi="宋体" w:cs="宋体" w:hint="eastAsia"/>
                <w:bCs/>
                <w:szCs w:val="21"/>
              </w:rPr>
              <w:t>9</w:t>
            </w:r>
            <w:r>
              <w:rPr>
                <w:rFonts w:hAnsi="宋体" w:cs="宋体"/>
                <w:bCs/>
                <w:szCs w:val="21"/>
              </w:rPr>
              <w:t>0%</w:t>
            </w:r>
            <w:r>
              <w:rPr>
                <w:rFonts w:hAnsi="宋体" w:cs="宋体"/>
                <w:bCs/>
                <w:szCs w:val="21"/>
              </w:rPr>
              <w:t>，准备认真、内容很好。</w:t>
            </w:r>
          </w:p>
        </w:tc>
        <w:tc>
          <w:tcPr>
            <w:tcW w:w="957" w:type="pct"/>
            <w:tcBorders>
              <w:top w:val="single" w:sz="4" w:space="0" w:color="auto"/>
              <w:left w:val="single" w:sz="4" w:space="0" w:color="auto"/>
              <w:bottom w:val="single" w:sz="4" w:space="0" w:color="auto"/>
              <w:right w:val="single" w:sz="4" w:space="0" w:color="auto"/>
            </w:tcBorders>
          </w:tcPr>
          <w:p w14:paraId="7394284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发现问题、组织内容、交流展示的能力比较突出或提升显著；</w:t>
            </w:r>
          </w:p>
          <w:p w14:paraId="15DA48B2"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思辨能力和批判性思维能力比较突出或提升显著；</w:t>
            </w:r>
          </w:p>
          <w:p w14:paraId="722395ED"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 xml:space="preserve">.3 </w:t>
            </w:r>
            <w:r>
              <w:rPr>
                <w:rFonts w:hAnsi="宋体" w:cs="宋体"/>
                <w:bCs/>
                <w:szCs w:val="21"/>
              </w:rPr>
              <w:t>作业完成率超过</w:t>
            </w:r>
            <w:r>
              <w:rPr>
                <w:rFonts w:hAnsi="宋体" w:cs="宋体" w:hint="eastAsia"/>
                <w:bCs/>
                <w:szCs w:val="21"/>
              </w:rPr>
              <w:t>8</w:t>
            </w:r>
            <w:r>
              <w:rPr>
                <w:rFonts w:hAnsi="宋体" w:cs="宋体"/>
                <w:bCs/>
                <w:szCs w:val="21"/>
              </w:rPr>
              <w:t>0%</w:t>
            </w:r>
            <w:r>
              <w:rPr>
                <w:rFonts w:hAnsi="宋体" w:cs="宋体"/>
                <w:bCs/>
                <w:szCs w:val="21"/>
              </w:rPr>
              <w:t>，准备比较认真、内容较好</w:t>
            </w:r>
            <w:r>
              <w:rPr>
                <w:rFonts w:hAnsi="宋体" w:cs="宋体" w:hint="eastAsia"/>
                <w:bCs/>
                <w:szCs w:val="21"/>
              </w:rPr>
              <w:t>。</w:t>
            </w:r>
          </w:p>
        </w:tc>
        <w:tc>
          <w:tcPr>
            <w:tcW w:w="889" w:type="pct"/>
            <w:tcBorders>
              <w:top w:val="single" w:sz="4" w:space="0" w:color="auto"/>
              <w:left w:val="single" w:sz="4" w:space="0" w:color="auto"/>
              <w:bottom w:val="single" w:sz="4" w:space="0" w:color="auto"/>
              <w:right w:val="single" w:sz="4" w:space="0" w:color="auto"/>
            </w:tcBorders>
          </w:tcPr>
          <w:p w14:paraId="5A3B86F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发现问题、组织内容、交流展示的能力提升明显；</w:t>
            </w:r>
          </w:p>
          <w:p w14:paraId="38B5212C"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思辨能力和批判性思维能力提升明显；</w:t>
            </w:r>
          </w:p>
          <w:p w14:paraId="17C6695B"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w:t>
            </w:r>
            <w:r>
              <w:rPr>
                <w:rFonts w:hAnsi="宋体" w:cs="宋体"/>
                <w:bCs/>
                <w:szCs w:val="21"/>
              </w:rPr>
              <w:t>作业完成率超过</w:t>
            </w:r>
            <w:r>
              <w:rPr>
                <w:rFonts w:hAnsi="宋体" w:cs="宋体"/>
                <w:bCs/>
                <w:szCs w:val="21"/>
              </w:rPr>
              <w:t>70%</w:t>
            </w:r>
            <w:r>
              <w:rPr>
                <w:rFonts w:hAnsi="宋体" w:cs="宋体"/>
                <w:bCs/>
                <w:szCs w:val="21"/>
              </w:rPr>
              <w:t>，准备比较认真、内容一般</w:t>
            </w:r>
            <w:r>
              <w:rPr>
                <w:rFonts w:hAnsi="宋体" w:cs="宋体" w:hint="eastAsia"/>
                <w:bCs/>
                <w:szCs w:val="21"/>
              </w:rPr>
              <w:t>。</w:t>
            </w:r>
          </w:p>
        </w:tc>
        <w:tc>
          <w:tcPr>
            <w:tcW w:w="858" w:type="pct"/>
            <w:tcBorders>
              <w:top w:val="single" w:sz="4" w:space="0" w:color="auto"/>
              <w:left w:val="single" w:sz="4" w:space="0" w:color="auto"/>
              <w:bottom w:val="single" w:sz="4" w:space="0" w:color="auto"/>
              <w:right w:val="single" w:sz="4" w:space="0" w:color="auto"/>
            </w:tcBorders>
          </w:tcPr>
          <w:p w14:paraId="31C48F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发现问题、组织内容、交流展示的能力有提升；</w:t>
            </w:r>
          </w:p>
          <w:p w14:paraId="5CCC2586"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思辨能力和批判性思维能力有提升；</w:t>
            </w:r>
          </w:p>
          <w:p w14:paraId="1EC85EEC"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w:t>
            </w:r>
            <w:r>
              <w:rPr>
                <w:rFonts w:hAnsi="宋体" w:cs="宋体"/>
                <w:bCs/>
                <w:szCs w:val="21"/>
              </w:rPr>
              <w:t>作业完成率超过</w:t>
            </w:r>
            <w:r>
              <w:rPr>
                <w:rFonts w:hAnsi="宋体" w:cs="宋体" w:hint="eastAsia"/>
                <w:bCs/>
                <w:szCs w:val="21"/>
              </w:rPr>
              <w:t>5</w:t>
            </w:r>
            <w:r>
              <w:rPr>
                <w:rFonts w:hAnsi="宋体" w:cs="宋体"/>
                <w:bCs/>
                <w:szCs w:val="21"/>
              </w:rPr>
              <w:t>0%</w:t>
            </w:r>
            <w:r>
              <w:rPr>
                <w:rFonts w:hAnsi="宋体" w:cs="宋体"/>
                <w:bCs/>
                <w:szCs w:val="21"/>
              </w:rPr>
              <w:t>，准备比较认真。</w:t>
            </w:r>
          </w:p>
        </w:tc>
        <w:tc>
          <w:tcPr>
            <w:tcW w:w="860" w:type="pct"/>
            <w:tcBorders>
              <w:top w:val="single" w:sz="4" w:space="0" w:color="auto"/>
              <w:left w:val="single" w:sz="4" w:space="0" w:color="auto"/>
              <w:bottom w:val="single" w:sz="4" w:space="0" w:color="auto"/>
              <w:right w:val="single" w:sz="4" w:space="0" w:color="auto"/>
            </w:tcBorders>
          </w:tcPr>
          <w:p w14:paraId="07EE4407"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w:t>
            </w:r>
            <w:r>
              <w:rPr>
                <w:rFonts w:hAnsi="宋体"/>
              </w:rPr>
              <w:t>发现问题、组织内容、交流展示的能力</w:t>
            </w:r>
            <w:proofErr w:type="gramStart"/>
            <w:r>
              <w:rPr>
                <w:rFonts w:hAnsi="宋体"/>
              </w:rPr>
              <w:t>弱而且</w:t>
            </w:r>
            <w:proofErr w:type="gramEnd"/>
            <w:r>
              <w:rPr>
                <w:rFonts w:hAnsi="宋体"/>
              </w:rPr>
              <w:t>提升不明显；</w:t>
            </w:r>
          </w:p>
          <w:p w14:paraId="5AB46E2C"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w:t>
            </w:r>
            <w:proofErr w:type="gramStart"/>
            <w:r>
              <w:rPr>
                <w:rFonts w:hAnsi="宋体" w:cs="宋体" w:hint="eastAsia"/>
              </w:rPr>
              <w:t>弱而且</w:t>
            </w:r>
            <w:proofErr w:type="gramEnd"/>
            <w:r>
              <w:rPr>
                <w:rFonts w:hAnsi="宋体" w:cs="宋体" w:hint="eastAsia"/>
              </w:rPr>
              <w:t>提升不明显；</w:t>
            </w:r>
          </w:p>
          <w:p w14:paraId="56F37F93"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w:t>
            </w:r>
            <w:r>
              <w:rPr>
                <w:rFonts w:hAnsi="宋体" w:cs="宋体"/>
                <w:bCs/>
                <w:szCs w:val="21"/>
              </w:rPr>
              <w:t>作业完成率不足</w:t>
            </w:r>
            <w:r>
              <w:rPr>
                <w:rFonts w:hAnsi="宋体" w:cs="宋体" w:hint="eastAsia"/>
                <w:bCs/>
                <w:szCs w:val="21"/>
              </w:rPr>
              <w:t>5</w:t>
            </w:r>
            <w:r>
              <w:rPr>
                <w:rFonts w:hAnsi="宋体" w:cs="宋体"/>
                <w:bCs/>
                <w:szCs w:val="21"/>
              </w:rPr>
              <w:t>0%</w:t>
            </w:r>
            <w:r>
              <w:rPr>
                <w:rFonts w:hAnsi="宋体" w:cs="宋体"/>
                <w:bCs/>
                <w:szCs w:val="21"/>
              </w:rPr>
              <w:t>，准备不认真或内容差</w:t>
            </w:r>
            <w:r>
              <w:rPr>
                <w:rFonts w:hAnsi="宋体" w:cs="宋体" w:hint="eastAsia"/>
                <w:bCs/>
                <w:szCs w:val="21"/>
              </w:rPr>
              <w:t>。</w:t>
            </w:r>
          </w:p>
        </w:tc>
      </w:tr>
    </w:tbl>
    <w:p w14:paraId="7135F7E1" w14:textId="77777777" w:rsidR="006103C8" w:rsidRDefault="006103C8">
      <w:pPr>
        <w:widowControl/>
        <w:jc w:val="left"/>
        <w:rPr>
          <w:rFonts w:ascii="宋体" w:eastAsia="宋体" w:hAnsi="宋体"/>
        </w:rPr>
      </w:pPr>
    </w:p>
    <w:sectPr w:rsidR="006103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07C"/>
    <w:multiLevelType w:val="multilevel"/>
    <w:tmpl w:val="1833207C"/>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F412BCA"/>
    <w:multiLevelType w:val="multilevel"/>
    <w:tmpl w:val="7F412BCA"/>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20DF1"/>
    <w:rsid w:val="00022CBB"/>
    <w:rsid w:val="000430E1"/>
    <w:rsid w:val="00050D8E"/>
    <w:rsid w:val="000513A4"/>
    <w:rsid w:val="00071A83"/>
    <w:rsid w:val="00077A5F"/>
    <w:rsid w:val="00095D40"/>
    <w:rsid w:val="000B2D92"/>
    <w:rsid w:val="000E6BBC"/>
    <w:rsid w:val="000F054A"/>
    <w:rsid w:val="00105AF4"/>
    <w:rsid w:val="00110BA5"/>
    <w:rsid w:val="00183A8B"/>
    <w:rsid w:val="00192DFD"/>
    <w:rsid w:val="00197B5A"/>
    <w:rsid w:val="001B779F"/>
    <w:rsid w:val="001C6631"/>
    <w:rsid w:val="001D1BF9"/>
    <w:rsid w:val="001E5724"/>
    <w:rsid w:val="00202098"/>
    <w:rsid w:val="00242673"/>
    <w:rsid w:val="00264279"/>
    <w:rsid w:val="0026698B"/>
    <w:rsid w:val="00270A67"/>
    <w:rsid w:val="00285327"/>
    <w:rsid w:val="002A7568"/>
    <w:rsid w:val="002D1141"/>
    <w:rsid w:val="002E642D"/>
    <w:rsid w:val="00313A87"/>
    <w:rsid w:val="00322986"/>
    <w:rsid w:val="0034254B"/>
    <w:rsid w:val="00354A24"/>
    <w:rsid w:val="00366697"/>
    <w:rsid w:val="00382E50"/>
    <w:rsid w:val="0038665C"/>
    <w:rsid w:val="003A02D5"/>
    <w:rsid w:val="003C4816"/>
    <w:rsid w:val="003E33B2"/>
    <w:rsid w:val="003F4BBD"/>
    <w:rsid w:val="004070CF"/>
    <w:rsid w:val="004377E1"/>
    <w:rsid w:val="004554F5"/>
    <w:rsid w:val="00475948"/>
    <w:rsid w:val="00482C64"/>
    <w:rsid w:val="004C454B"/>
    <w:rsid w:val="004E153C"/>
    <w:rsid w:val="00523B20"/>
    <w:rsid w:val="00527F3F"/>
    <w:rsid w:val="005839D0"/>
    <w:rsid w:val="005A0378"/>
    <w:rsid w:val="006103C8"/>
    <w:rsid w:val="00611E59"/>
    <w:rsid w:val="00665192"/>
    <w:rsid w:val="00665621"/>
    <w:rsid w:val="006B2096"/>
    <w:rsid w:val="006E4F82"/>
    <w:rsid w:val="006E74E9"/>
    <w:rsid w:val="006F64C9"/>
    <w:rsid w:val="00734294"/>
    <w:rsid w:val="007639A2"/>
    <w:rsid w:val="00773A25"/>
    <w:rsid w:val="007C379D"/>
    <w:rsid w:val="007C62ED"/>
    <w:rsid w:val="007E39E3"/>
    <w:rsid w:val="007F42F0"/>
    <w:rsid w:val="008128AD"/>
    <w:rsid w:val="0082258A"/>
    <w:rsid w:val="008560E2"/>
    <w:rsid w:val="00886EBF"/>
    <w:rsid w:val="008F0828"/>
    <w:rsid w:val="0093304D"/>
    <w:rsid w:val="00937AAB"/>
    <w:rsid w:val="00997F98"/>
    <w:rsid w:val="009B544E"/>
    <w:rsid w:val="009B6A27"/>
    <w:rsid w:val="009D4269"/>
    <w:rsid w:val="00A03BBD"/>
    <w:rsid w:val="00A12706"/>
    <w:rsid w:val="00A16AE1"/>
    <w:rsid w:val="00A30A2B"/>
    <w:rsid w:val="00A61EFD"/>
    <w:rsid w:val="00A9078D"/>
    <w:rsid w:val="00A942BB"/>
    <w:rsid w:val="00AA4570"/>
    <w:rsid w:val="00AA630A"/>
    <w:rsid w:val="00AE3D1A"/>
    <w:rsid w:val="00B03909"/>
    <w:rsid w:val="00B40ECD"/>
    <w:rsid w:val="00B63F8C"/>
    <w:rsid w:val="00B64880"/>
    <w:rsid w:val="00BA23F0"/>
    <w:rsid w:val="00C00798"/>
    <w:rsid w:val="00C54636"/>
    <w:rsid w:val="00CA53B2"/>
    <w:rsid w:val="00CE5151"/>
    <w:rsid w:val="00D02F99"/>
    <w:rsid w:val="00D13271"/>
    <w:rsid w:val="00D14471"/>
    <w:rsid w:val="00D20CAB"/>
    <w:rsid w:val="00D321AF"/>
    <w:rsid w:val="00D417A1"/>
    <w:rsid w:val="00D504B7"/>
    <w:rsid w:val="00D64022"/>
    <w:rsid w:val="00D7086A"/>
    <w:rsid w:val="00D715F7"/>
    <w:rsid w:val="00DC5BFF"/>
    <w:rsid w:val="00DD297C"/>
    <w:rsid w:val="00DD7B5F"/>
    <w:rsid w:val="00DE0A58"/>
    <w:rsid w:val="00DE33D9"/>
    <w:rsid w:val="00DE7849"/>
    <w:rsid w:val="00DF37D9"/>
    <w:rsid w:val="00E05E8B"/>
    <w:rsid w:val="00E341C6"/>
    <w:rsid w:val="00E366AB"/>
    <w:rsid w:val="00E42DB1"/>
    <w:rsid w:val="00E66DF7"/>
    <w:rsid w:val="00E748C0"/>
    <w:rsid w:val="00E76E34"/>
    <w:rsid w:val="00ED7F81"/>
    <w:rsid w:val="00F5082E"/>
    <w:rsid w:val="00F56396"/>
    <w:rsid w:val="00F87748"/>
    <w:rsid w:val="00FB77A1"/>
    <w:rsid w:val="00FC24B5"/>
    <w:rsid w:val="00FC439F"/>
    <w:rsid w:val="00FD3DFB"/>
    <w:rsid w:val="00FE0BF4"/>
    <w:rsid w:val="7F14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A701"/>
  <w15:docId w15:val="{141CBECD-E038-437F-9F7F-8A25B586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i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character" w:customStyle="1" w:styleId="15">
    <w:name w:val="15"/>
    <w:basedOn w:val="a0"/>
    <w:qFormat/>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1982</Words>
  <Characters>11301</Characters>
  <Application>Microsoft Office Word</Application>
  <DocSecurity>0</DocSecurity>
  <Lines>94</Lines>
  <Paragraphs>26</Paragraphs>
  <ScaleCrop>false</ScaleCrop>
  <Company>P R C</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cp:revision>
  <cp:lastPrinted>2020-12-24T07:17:00Z</cp:lastPrinted>
  <dcterms:created xsi:type="dcterms:W3CDTF">2021-06-24T02:17:00Z</dcterms:created>
  <dcterms:modified xsi:type="dcterms:W3CDTF">2023-08-04T03:05:00Z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21230B56C72E4D159CD109034D1B8F48_12</vt:lpwstr>
  </property>
</Properties>
</file>